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27.xml" ContentType="application/vnd.openxmlformats-officedocument.drawingml.chart+xml"/>
  <Override PartName="/word/charts/chart23.xml" ContentType="application/vnd.openxmlformats-officedocument.drawingml.chart+xml"/>
  <Override PartName="/word/charts/chart25.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26.xml" ContentType="application/vnd.openxmlformats-officedocument.drawingml.chart+xml"/>
  <Override PartName="/word/charts/chart6.xml" ContentType="application/vnd.openxmlformats-officedocument.drawingml.chart+xml"/>
  <Override PartName="/word/charts/chart8.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4.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5.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6.xml" ContentType="application/vnd.openxmlformats-officedocument.drawingml.chart+xml"/>
  <Override PartName="/word/charts/chart11.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94" w:type="dxa"/>
        <w:tblLayout w:type="fixed"/>
        <w:tblLook w:val="01E0" w:firstRow="1" w:lastRow="1" w:firstColumn="1" w:lastColumn="1" w:noHBand="0" w:noVBand="0"/>
      </w:tblPr>
      <w:tblGrid>
        <w:gridCol w:w="1849"/>
        <w:gridCol w:w="3960"/>
      </w:tblGrid>
      <w:tr w:rsidR="0099279C" w:rsidRPr="0099279C" w:rsidTr="006B35EB">
        <w:trPr>
          <w:cantSplit/>
          <w:trHeight w:val="3082"/>
        </w:trPr>
        <w:tc>
          <w:tcPr>
            <w:tcW w:w="1849" w:type="dxa"/>
            <w:vMerge w:val="restart"/>
          </w:tcPr>
          <w:p w:rsidR="0099279C" w:rsidRPr="0099279C" w:rsidRDefault="0099279C" w:rsidP="00BE74C6">
            <w:r w:rsidRPr="0099279C">
              <w:rPr>
                <w:noProof/>
                <w:lang w:val="en-US"/>
              </w:rPr>
              <w:drawing>
                <wp:inline distT="0" distB="0" distL="0" distR="0">
                  <wp:extent cx="914400" cy="866775"/>
                  <wp:effectExtent l="19050" t="0" r="0" b="0"/>
                  <wp:docPr id="11" name="Picture 11" descr="logo_color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olor_large"/>
                          <pic:cNvPicPr>
                            <a:picLocks noChangeAspect="1" noChangeArrowheads="1"/>
                          </pic:cNvPicPr>
                        </pic:nvPicPr>
                        <pic:blipFill>
                          <a:blip r:embed="rId9" cstate="print"/>
                          <a:srcRect/>
                          <a:stretch>
                            <a:fillRect/>
                          </a:stretch>
                        </pic:blipFill>
                        <pic:spPr bwMode="auto">
                          <a:xfrm>
                            <a:off x="0" y="0"/>
                            <a:ext cx="914400" cy="866775"/>
                          </a:xfrm>
                          <a:prstGeom prst="rect">
                            <a:avLst/>
                          </a:prstGeom>
                          <a:noFill/>
                          <a:ln w="9525">
                            <a:noFill/>
                            <a:miter lim="800000"/>
                            <a:headEnd/>
                            <a:tailEnd/>
                          </a:ln>
                        </pic:spPr>
                      </pic:pic>
                    </a:graphicData>
                  </a:graphic>
                </wp:inline>
              </w:drawing>
            </w:r>
          </w:p>
        </w:tc>
        <w:tc>
          <w:tcPr>
            <w:tcW w:w="3960" w:type="dxa"/>
          </w:tcPr>
          <w:p w:rsidR="0099279C" w:rsidRPr="0099279C" w:rsidRDefault="0099279C" w:rsidP="006B35EB">
            <w:pPr>
              <w:pStyle w:val="CoverTitle"/>
              <w:rPr>
                <w:rFonts w:ascii="Times New Roman" w:hAnsi="Times New Roman" w:cs="Times New Roman"/>
                <w:sz w:val="28"/>
                <w:szCs w:val="28"/>
              </w:rPr>
            </w:pPr>
            <w:bookmarkStart w:id="0" w:name="ReportTitle"/>
            <w:r w:rsidRPr="0099279C">
              <w:rPr>
                <w:rFonts w:ascii="Times New Roman" w:hAnsi="Times New Roman" w:cs="Times New Roman"/>
                <w:sz w:val="28"/>
                <w:szCs w:val="28"/>
              </w:rPr>
              <w:t xml:space="preserve">Avian Risk Assessment </w:t>
            </w:r>
            <w:bookmarkEnd w:id="0"/>
            <w:r w:rsidRPr="0099279C">
              <w:rPr>
                <w:rFonts w:ascii="Times New Roman" w:hAnsi="Times New Roman" w:cs="Times New Roman"/>
                <w:sz w:val="28"/>
                <w:szCs w:val="28"/>
              </w:rPr>
              <w:t>for South Farallon Islands, California</w:t>
            </w:r>
          </w:p>
        </w:tc>
      </w:tr>
      <w:tr w:rsidR="0099279C" w:rsidRPr="0099279C" w:rsidTr="006B35EB">
        <w:trPr>
          <w:cantSplit/>
          <w:trHeight w:val="6809"/>
        </w:trPr>
        <w:tc>
          <w:tcPr>
            <w:tcW w:w="1849" w:type="dxa"/>
            <w:vMerge/>
          </w:tcPr>
          <w:p w:rsidR="0099279C" w:rsidRPr="0099279C" w:rsidRDefault="0099279C" w:rsidP="006B35EB">
            <w:pPr>
              <w:rPr>
                <w:rFonts w:cs="Times New Roman"/>
                <w:sz w:val="24"/>
                <w:szCs w:val="24"/>
              </w:rPr>
            </w:pPr>
          </w:p>
        </w:tc>
        <w:tc>
          <w:tcPr>
            <w:tcW w:w="3960" w:type="dxa"/>
          </w:tcPr>
          <w:p w:rsidR="0099279C" w:rsidRPr="0099279C" w:rsidRDefault="0099279C" w:rsidP="006B35EB">
            <w:pPr>
              <w:rPr>
                <w:rFonts w:cs="Times New Roman"/>
                <w:sz w:val="24"/>
                <w:szCs w:val="24"/>
              </w:rPr>
            </w:pPr>
            <w:r w:rsidRPr="0099279C">
              <w:rPr>
                <w:rFonts w:cs="Times New Roman"/>
                <w:sz w:val="24"/>
                <w:szCs w:val="24"/>
              </w:rPr>
              <w:t>RISK A</w:t>
            </w:r>
            <w:r w:rsidR="007222D3">
              <w:rPr>
                <w:rFonts w:cs="Times New Roman"/>
                <w:sz w:val="24"/>
                <w:szCs w:val="24"/>
              </w:rPr>
              <w:t>SSESSMENT</w:t>
            </w:r>
            <w:r w:rsidRPr="0099279C">
              <w:rPr>
                <w:rFonts w:cs="Times New Roman"/>
                <w:sz w:val="24"/>
                <w:szCs w:val="24"/>
              </w:rPr>
              <w:t xml:space="preserve"> FOR WESTERN GULL </w:t>
            </w:r>
            <w:r w:rsidR="00DD4BE7">
              <w:rPr>
                <w:rFonts w:cs="Times New Roman"/>
                <w:sz w:val="24"/>
                <w:szCs w:val="24"/>
              </w:rPr>
              <w:t>EXPOSURE</w:t>
            </w:r>
            <w:r w:rsidR="00DD4BE7" w:rsidRPr="0099279C">
              <w:rPr>
                <w:rFonts w:cs="Times New Roman"/>
                <w:sz w:val="24"/>
                <w:szCs w:val="24"/>
              </w:rPr>
              <w:t xml:space="preserve"> </w:t>
            </w:r>
            <w:r w:rsidRPr="0099279C">
              <w:rPr>
                <w:rFonts w:cs="Times New Roman"/>
                <w:sz w:val="24"/>
                <w:szCs w:val="24"/>
              </w:rPr>
              <w:t>TO THE RODENTICIDE</w:t>
            </w:r>
            <w:r w:rsidR="000C06DB">
              <w:rPr>
                <w:rFonts w:cs="Times New Roman"/>
                <w:sz w:val="24"/>
                <w:szCs w:val="24"/>
              </w:rPr>
              <w:t>S</w:t>
            </w:r>
            <w:r w:rsidRPr="0099279C">
              <w:rPr>
                <w:rFonts w:cs="Times New Roman"/>
                <w:sz w:val="24"/>
                <w:szCs w:val="24"/>
              </w:rPr>
              <w:t xml:space="preserve"> BRODIFACOUM</w:t>
            </w:r>
            <w:r>
              <w:rPr>
                <w:rFonts w:cs="Times New Roman"/>
                <w:sz w:val="24"/>
                <w:szCs w:val="24"/>
              </w:rPr>
              <w:t xml:space="preserve"> </w:t>
            </w:r>
            <w:r w:rsidR="007222D3">
              <w:rPr>
                <w:rFonts w:cs="Times New Roman"/>
                <w:sz w:val="24"/>
                <w:szCs w:val="24"/>
              </w:rPr>
              <w:t>OR</w:t>
            </w:r>
            <w:r w:rsidR="0000477D">
              <w:rPr>
                <w:rFonts w:cs="Times New Roman"/>
                <w:sz w:val="24"/>
                <w:szCs w:val="24"/>
              </w:rPr>
              <w:t xml:space="preserve"> DIPHACINONE </w:t>
            </w:r>
            <w:r w:rsidRPr="0099279C">
              <w:rPr>
                <w:rFonts w:cs="Times New Roman"/>
                <w:sz w:val="24"/>
                <w:szCs w:val="24"/>
              </w:rPr>
              <w:t>ON THE SOUTH FARALLON ISLANDS</w:t>
            </w:r>
          </w:p>
          <w:p w:rsidR="0099279C" w:rsidRPr="0099279C" w:rsidRDefault="0099279C" w:rsidP="006B35EB">
            <w:pPr>
              <w:pStyle w:val="CoverDescription"/>
              <w:rPr>
                <w:rFonts w:ascii="Times New Roman" w:hAnsi="Times New Roman" w:cs="Times New Roman"/>
                <w:sz w:val="24"/>
                <w:szCs w:val="24"/>
              </w:rPr>
            </w:pPr>
          </w:p>
          <w:p w:rsidR="0099279C" w:rsidRPr="0099279C" w:rsidRDefault="0099279C" w:rsidP="006B35EB">
            <w:pPr>
              <w:pStyle w:val="ImageText"/>
              <w:rPr>
                <w:rFonts w:ascii="Times New Roman" w:hAnsi="Times New Roman" w:cs="Times New Roman"/>
                <w:sz w:val="24"/>
              </w:rPr>
            </w:pPr>
            <w:r w:rsidRPr="0099279C">
              <w:rPr>
                <w:rFonts w:ascii="Times New Roman" w:hAnsi="Times New Roman" w:cs="Times New Roman"/>
                <w:sz w:val="24"/>
              </w:rPr>
              <w:t xml:space="preserve"> </w:t>
            </w:r>
          </w:p>
        </w:tc>
      </w:tr>
      <w:tr w:rsidR="0099279C" w:rsidRPr="0099279C" w:rsidTr="006B35EB">
        <w:trPr>
          <w:cantSplit/>
          <w:trHeight w:val="62"/>
        </w:trPr>
        <w:tc>
          <w:tcPr>
            <w:tcW w:w="1849" w:type="dxa"/>
          </w:tcPr>
          <w:p w:rsidR="0099279C" w:rsidRPr="0099279C" w:rsidRDefault="0099279C" w:rsidP="006B35EB">
            <w:pPr>
              <w:rPr>
                <w:rFonts w:cs="Times New Roman"/>
                <w:sz w:val="24"/>
                <w:szCs w:val="24"/>
              </w:rPr>
            </w:pPr>
          </w:p>
        </w:tc>
        <w:tc>
          <w:tcPr>
            <w:tcW w:w="3960" w:type="dxa"/>
          </w:tcPr>
          <w:p w:rsidR="0099279C" w:rsidRPr="0099279C" w:rsidRDefault="005C504F" w:rsidP="0000477D">
            <w:pPr>
              <w:pStyle w:val="CoverDate"/>
              <w:rPr>
                <w:rFonts w:ascii="Times New Roman" w:hAnsi="Times New Roman" w:cs="Times New Roman"/>
                <w:sz w:val="24"/>
                <w:szCs w:val="24"/>
              </w:rPr>
            </w:pPr>
            <w:r>
              <w:rPr>
                <w:rFonts w:ascii="Times New Roman" w:hAnsi="Times New Roman" w:cs="Times New Roman"/>
                <w:sz w:val="24"/>
                <w:szCs w:val="24"/>
              </w:rPr>
              <w:t>10 December</w:t>
            </w:r>
            <w:r w:rsidR="0000477D">
              <w:rPr>
                <w:rFonts w:ascii="Times New Roman" w:hAnsi="Times New Roman" w:cs="Times New Roman"/>
                <w:sz w:val="24"/>
                <w:szCs w:val="24"/>
              </w:rPr>
              <w:t xml:space="preserve"> 2012</w:t>
            </w:r>
            <w:r w:rsidR="0099279C" w:rsidRPr="0099279C">
              <w:rPr>
                <w:rFonts w:ascii="Times New Roman" w:hAnsi="Times New Roman" w:cs="Times New Roman"/>
                <w:sz w:val="24"/>
                <w:szCs w:val="24"/>
              </w:rPr>
              <w:t xml:space="preserve"> </w:t>
            </w:r>
          </w:p>
        </w:tc>
      </w:tr>
    </w:tbl>
    <w:p w:rsidR="0099279C" w:rsidRPr="0099279C" w:rsidRDefault="0099279C" w:rsidP="0099279C">
      <w:pPr>
        <w:rPr>
          <w:rFonts w:cs="Times New Roman"/>
          <w:sz w:val="24"/>
          <w:szCs w:val="24"/>
        </w:rPr>
        <w:sectPr w:rsidR="0099279C" w:rsidRPr="0099279C" w:rsidSect="006B35EB">
          <w:headerReference w:type="even" r:id="rId10"/>
          <w:headerReference w:type="default" r:id="rId11"/>
          <w:footerReference w:type="even" r:id="rId12"/>
          <w:pgSz w:w="12240" w:h="15840" w:code="1"/>
          <w:pgMar w:top="3946" w:right="1440" w:bottom="1440" w:left="1440" w:header="806" w:footer="648" w:gutter="0"/>
          <w:pgNumType w:start="1" w:chapSep="period"/>
          <w:cols w:space="720"/>
          <w:titlePg/>
          <w:docGrid w:linePitch="326"/>
        </w:sectPr>
      </w:pPr>
    </w:p>
    <w:p w:rsidR="0078777C" w:rsidRPr="004A7447" w:rsidRDefault="0078777C" w:rsidP="0078777C">
      <w:pPr>
        <w:autoSpaceDE w:val="0"/>
        <w:autoSpaceDN w:val="0"/>
        <w:adjustRightInd w:val="0"/>
        <w:jc w:val="center"/>
        <w:rPr>
          <w:b/>
          <w:u w:val="single"/>
          <w:lang w:bidi="bn-IN"/>
        </w:rPr>
      </w:pPr>
    </w:p>
    <w:p w:rsidR="00171EFA" w:rsidRDefault="00171EFA" w:rsidP="0078777C">
      <w:pPr>
        <w:jc w:val="center"/>
        <w:rPr>
          <w:rFonts w:cs="Times New Roman"/>
          <w:b/>
          <w:sz w:val="28"/>
          <w:szCs w:val="28"/>
        </w:rPr>
      </w:pPr>
    </w:p>
    <w:p w:rsidR="00171EFA" w:rsidRDefault="00171EFA" w:rsidP="0078777C">
      <w:pPr>
        <w:jc w:val="center"/>
        <w:rPr>
          <w:rFonts w:cs="Times New Roman"/>
          <w:b/>
          <w:sz w:val="28"/>
          <w:szCs w:val="28"/>
        </w:rPr>
      </w:pPr>
    </w:p>
    <w:p w:rsidR="00171EFA" w:rsidRPr="00171EFA" w:rsidRDefault="00687369" w:rsidP="00171EFA">
      <w:pPr>
        <w:jc w:val="center"/>
        <w:rPr>
          <w:rFonts w:cs="Times New Roman"/>
          <w:b/>
          <w:sz w:val="24"/>
          <w:szCs w:val="24"/>
        </w:rPr>
      </w:pPr>
      <w:r w:rsidRPr="00171EFA">
        <w:rPr>
          <w:rFonts w:cs="Times New Roman"/>
          <w:b/>
          <w:sz w:val="28"/>
          <w:szCs w:val="28"/>
        </w:rPr>
        <w:t>Avian Risk Assessment for South Farallon Islands, California</w:t>
      </w:r>
      <w:r w:rsidRPr="00171EFA">
        <w:rPr>
          <w:rFonts w:cs="Times New Roman"/>
          <w:b/>
          <w:sz w:val="24"/>
          <w:szCs w:val="24"/>
        </w:rPr>
        <w:t>:</w:t>
      </w:r>
    </w:p>
    <w:p w:rsidR="0078777C" w:rsidRDefault="0078777C" w:rsidP="0078777C">
      <w:pPr>
        <w:jc w:val="center"/>
        <w:rPr>
          <w:rFonts w:cs="Times New Roman"/>
          <w:b/>
          <w:sz w:val="24"/>
          <w:szCs w:val="24"/>
        </w:rPr>
      </w:pPr>
      <w:r w:rsidRPr="00171EFA">
        <w:rPr>
          <w:rFonts w:cs="Times New Roman"/>
          <w:b/>
          <w:sz w:val="24"/>
          <w:szCs w:val="24"/>
        </w:rPr>
        <w:t>RISK A</w:t>
      </w:r>
      <w:r w:rsidR="007222D3">
        <w:rPr>
          <w:rFonts w:cs="Times New Roman"/>
          <w:b/>
          <w:sz w:val="24"/>
          <w:szCs w:val="24"/>
        </w:rPr>
        <w:t>SSESSMENT</w:t>
      </w:r>
      <w:r w:rsidRPr="00171EFA">
        <w:rPr>
          <w:rFonts w:cs="Times New Roman"/>
          <w:b/>
          <w:sz w:val="24"/>
          <w:szCs w:val="24"/>
        </w:rPr>
        <w:t xml:space="preserve"> FOR WESTERN GULL </w:t>
      </w:r>
      <w:r w:rsidR="00DD4BE7">
        <w:rPr>
          <w:rFonts w:cs="Times New Roman"/>
          <w:b/>
          <w:sz w:val="24"/>
          <w:szCs w:val="24"/>
        </w:rPr>
        <w:t>EXPOSURE</w:t>
      </w:r>
      <w:r w:rsidR="00DD4BE7" w:rsidRPr="00171EFA">
        <w:rPr>
          <w:rFonts w:cs="Times New Roman"/>
          <w:b/>
          <w:sz w:val="24"/>
          <w:szCs w:val="24"/>
        </w:rPr>
        <w:t xml:space="preserve"> </w:t>
      </w:r>
      <w:r w:rsidRPr="00171EFA">
        <w:rPr>
          <w:rFonts w:cs="Times New Roman"/>
          <w:b/>
          <w:sz w:val="24"/>
          <w:szCs w:val="24"/>
        </w:rPr>
        <w:t>TO THE RODENTICIDE</w:t>
      </w:r>
      <w:r w:rsidR="0000477D">
        <w:rPr>
          <w:rFonts w:cs="Times New Roman"/>
          <w:b/>
          <w:sz w:val="24"/>
          <w:szCs w:val="24"/>
        </w:rPr>
        <w:t>S</w:t>
      </w:r>
      <w:r w:rsidRPr="00171EFA">
        <w:rPr>
          <w:rFonts w:cs="Times New Roman"/>
          <w:b/>
          <w:sz w:val="24"/>
          <w:szCs w:val="24"/>
        </w:rPr>
        <w:t xml:space="preserve"> BRODIFACOUM </w:t>
      </w:r>
      <w:r w:rsidR="007222D3">
        <w:rPr>
          <w:rFonts w:cs="Times New Roman"/>
          <w:b/>
          <w:sz w:val="24"/>
          <w:szCs w:val="24"/>
        </w:rPr>
        <w:t>OR</w:t>
      </w:r>
      <w:r w:rsidR="0000477D">
        <w:rPr>
          <w:rFonts w:cs="Times New Roman"/>
          <w:b/>
          <w:sz w:val="24"/>
          <w:szCs w:val="24"/>
        </w:rPr>
        <w:t xml:space="preserve"> DIPHACINONE </w:t>
      </w:r>
      <w:r w:rsidRPr="00171EFA">
        <w:rPr>
          <w:rFonts w:cs="Times New Roman"/>
          <w:b/>
          <w:sz w:val="24"/>
          <w:szCs w:val="24"/>
        </w:rPr>
        <w:t>ON THE SOUTH FARALLON ISLANDS</w:t>
      </w:r>
    </w:p>
    <w:p w:rsidR="00DD4BE7" w:rsidRDefault="00DD4BE7" w:rsidP="0078777C">
      <w:pPr>
        <w:jc w:val="center"/>
        <w:rPr>
          <w:rFonts w:cs="Times New Roman"/>
          <w:b/>
          <w:sz w:val="24"/>
          <w:szCs w:val="24"/>
        </w:rPr>
      </w:pPr>
    </w:p>
    <w:p w:rsidR="0078777C" w:rsidRDefault="0078777C" w:rsidP="0078777C">
      <w:pPr>
        <w:pStyle w:val="CoverPageText-JWA"/>
        <w:spacing w:before="0" w:after="0"/>
        <w:rPr>
          <w:rFonts w:ascii="Times New Roman" w:hAnsi="Times New Roman"/>
          <w:szCs w:val="24"/>
        </w:rPr>
      </w:pPr>
      <w:r w:rsidRPr="0078777C">
        <w:rPr>
          <w:rFonts w:ascii="Times New Roman" w:hAnsi="Times New Roman"/>
          <w:i/>
          <w:szCs w:val="24"/>
        </w:rPr>
        <w:t>Prepared for</w:t>
      </w:r>
      <w:r w:rsidRPr="0078777C">
        <w:rPr>
          <w:rFonts w:ascii="Times New Roman" w:hAnsi="Times New Roman"/>
          <w:szCs w:val="24"/>
        </w:rPr>
        <w:t>:</w:t>
      </w:r>
    </w:p>
    <w:p w:rsidR="0078777C" w:rsidRPr="0078777C" w:rsidRDefault="0078777C" w:rsidP="0078777C">
      <w:pPr>
        <w:pStyle w:val="CoverPageText-JWA"/>
        <w:spacing w:before="0" w:after="0"/>
        <w:rPr>
          <w:rFonts w:ascii="Times New Roman" w:hAnsi="Times New Roman"/>
          <w:szCs w:val="24"/>
        </w:rPr>
      </w:pPr>
    </w:p>
    <w:p w:rsidR="0078777C" w:rsidRPr="00D65822" w:rsidRDefault="0078777C" w:rsidP="0078777C">
      <w:pPr>
        <w:pStyle w:val="CoverPageText2-JWA"/>
        <w:spacing w:before="0" w:after="0"/>
        <w:rPr>
          <w:rFonts w:ascii="Times New Roman" w:hAnsi="Times New Roman"/>
          <w:sz w:val="28"/>
          <w:szCs w:val="28"/>
        </w:rPr>
      </w:pPr>
      <w:r w:rsidRPr="00D65822">
        <w:rPr>
          <w:rFonts w:ascii="Times New Roman" w:hAnsi="Times New Roman"/>
          <w:sz w:val="28"/>
          <w:szCs w:val="28"/>
        </w:rPr>
        <w:t>Island Conservation</w:t>
      </w:r>
    </w:p>
    <w:p w:rsidR="0078777C" w:rsidRPr="0078777C" w:rsidRDefault="0078777C" w:rsidP="0078777C">
      <w:pPr>
        <w:pStyle w:val="BodyText"/>
        <w:tabs>
          <w:tab w:val="left" w:pos="990"/>
        </w:tabs>
        <w:spacing w:after="0" w:line="240" w:lineRule="auto"/>
        <w:jc w:val="center"/>
        <w:rPr>
          <w:rFonts w:ascii="Times New Roman" w:hAnsi="Times New Roman" w:cs="Times New Roman"/>
          <w:b/>
          <w:sz w:val="24"/>
          <w:szCs w:val="24"/>
        </w:rPr>
      </w:pPr>
      <w:r w:rsidRPr="0078777C">
        <w:rPr>
          <w:rFonts w:ascii="Times New Roman" w:hAnsi="Times New Roman" w:cs="Times New Roman"/>
          <w:b/>
          <w:sz w:val="24"/>
          <w:szCs w:val="24"/>
        </w:rPr>
        <w:t>100 Shaffer Rd</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LML, UCSC</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Santa Cruz, CA 95060</w:t>
      </w:r>
    </w:p>
    <w:p w:rsidR="0078777C" w:rsidRPr="00364A85" w:rsidRDefault="0078777C" w:rsidP="0078777C">
      <w:pPr>
        <w:pStyle w:val="CoverPageText2-JWA"/>
        <w:spacing w:before="0" w:after="0"/>
        <w:rPr>
          <w:rFonts w:ascii="Times New Roman" w:hAnsi="Times New Roman"/>
          <w:sz w:val="24"/>
          <w:szCs w:val="24"/>
          <w:lang w:val="fr-CA"/>
        </w:rPr>
      </w:pPr>
    </w:p>
    <w:p w:rsidR="0078777C" w:rsidRPr="00364A85" w:rsidRDefault="0078777C" w:rsidP="0078777C">
      <w:pPr>
        <w:pStyle w:val="CoverPageText2-JWA"/>
        <w:spacing w:before="0" w:after="0"/>
        <w:rPr>
          <w:rFonts w:ascii="Times New Roman" w:hAnsi="Times New Roman"/>
          <w:sz w:val="24"/>
          <w:szCs w:val="24"/>
          <w:lang w:val="fr-CA"/>
        </w:rPr>
      </w:pPr>
    </w:p>
    <w:p w:rsidR="0078777C" w:rsidRDefault="0078777C" w:rsidP="0078777C">
      <w:pPr>
        <w:pStyle w:val="CoverPageText-JWA"/>
        <w:spacing w:before="0" w:after="0"/>
        <w:rPr>
          <w:rFonts w:ascii="Times New Roman" w:hAnsi="Times New Roman"/>
          <w:i/>
          <w:szCs w:val="24"/>
        </w:rPr>
      </w:pPr>
      <w:r w:rsidRPr="0078777C">
        <w:rPr>
          <w:rFonts w:ascii="Times New Roman" w:hAnsi="Times New Roman"/>
          <w:i/>
          <w:szCs w:val="24"/>
        </w:rPr>
        <w:t>Prepared by:</w:t>
      </w:r>
    </w:p>
    <w:p w:rsidR="00687369" w:rsidRDefault="00687369" w:rsidP="0078777C">
      <w:pPr>
        <w:pStyle w:val="CoverPageText-JWA"/>
        <w:spacing w:before="0" w:after="0"/>
        <w:rPr>
          <w:rFonts w:ascii="Times New Roman" w:hAnsi="Times New Roman"/>
          <w:i/>
          <w:szCs w:val="24"/>
        </w:rPr>
      </w:pPr>
    </w:p>
    <w:p w:rsidR="00687369" w:rsidRDefault="00DD4BE7" w:rsidP="0078777C">
      <w:pPr>
        <w:pStyle w:val="CoverPageText-JWA"/>
        <w:spacing w:before="0" w:after="0"/>
        <w:rPr>
          <w:rFonts w:ascii="Times New Roman" w:hAnsi="Times New Roman"/>
          <w:i/>
          <w:szCs w:val="24"/>
        </w:rPr>
      </w:pPr>
      <w:r>
        <w:rPr>
          <w:rFonts w:ascii="Times New Roman" w:hAnsi="Times New Roman"/>
          <w:i/>
          <w:szCs w:val="24"/>
        </w:rPr>
        <w:t>Dr. Dwayne R.J. Moore, Intrinsik Environmental Sciences (US)</w:t>
      </w:r>
    </w:p>
    <w:p w:rsidR="00DD4BE7" w:rsidRDefault="00DD4BE7" w:rsidP="0078777C">
      <w:pPr>
        <w:pStyle w:val="CoverPageText-JWA"/>
        <w:spacing w:before="0" w:after="0"/>
        <w:rPr>
          <w:rFonts w:ascii="Times New Roman" w:hAnsi="Times New Roman"/>
          <w:i/>
          <w:szCs w:val="24"/>
        </w:rPr>
      </w:pPr>
      <w:r>
        <w:rPr>
          <w:rFonts w:ascii="Times New Roman" w:hAnsi="Times New Roman"/>
          <w:i/>
          <w:szCs w:val="24"/>
        </w:rPr>
        <w:t>Dr. Kerrie J. Beckett, Stantec Consulting Services</w:t>
      </w:r>
    </w:p>
    <w:p w:rsidR="00942359" w:rsidRDefault="00942359" w:rsidP="0078777C">
      <w:pPr>
        <w:pStyle w:val="CoverPageText-JWA"/>
        <w:spacing w:before="0" w:after="0"/>
        <w:rPr>
          <w:rFonts w:ascii="Times New Roman" w:hAnsi="Times New Roman"/>
          <w:i/>
          <w:szCs w:val="24"/>
        </w:rPr>
      </w:pPr>
      <w:r>
        <w:rPr>
          <w:rFonts w:ascii="Times New Roman" w:hAnsi="Times New Roman"/>
          <w:i/>
          <w:szCs w:val="24"/>
        </w:rPr>
        <w:t xml:space="preserve">Stantec Project Number: </w:t>
      </w:r>
      <w:r w:rsidRPr="00942359">
        <w:rPr>
          <w:rFonts w:ascii="Times New Roman" w:hAnsi="Times New Roman"/>
          <w:i/>
          <w:szCs w:val="24"/>
        </w:rPr>
        <w:t>19560659</w:t>
      </w:r>
    </w:p>
    <w:p w:rsidR="00942359" w:rsidRDefault="00942359" w:rsidP="0078777C">
      <w:pPr>
        <w:pStyle w:val="CoverPageText-JWA"/>
        <w:spacing w:before="0" w:after="0"/>
        <w:rPr>
          <w:rFonts w:ascii="Times New Roman" w:hAnsi="Times New Roman"/>
          <w:i/>
          <w:szCs w:val="24"/>
        </w:rPr>
      </w:pPr>
      <w:r>
        <w:rPr>
          <w:rFonts w:ascii="Times New Roman" w:hAnsi="Times New Roman"/>
          <w:i/>
          <w:szCs w:val="24"/>
        </w:rPr>
        <w:t>Intrinsik Project Number: ME60285</w:t>
      </w:r>
    </w:p>
    <w:p w:rsidR="00DD4BE7" w:rsidRDefault="00DD4BE7" w:rsidP="0078777C">
      <w:pPr>
        <w:pStyle w:val="CoverPageText-JWA"/>
        <w:spacing w:before="0" w:after="0"/>
        <w:rPr>
          <w:rFonts w:ascii="Times New Roman" w:hAnsi="Times New Roman"/>
          <w:i/>
          <w:szCs w:val="24"/>
        </w:rPr>
      </w:pPr>
    </w:p>
    <w:p w:rsidR="00687369" w:rsidRDefault="00687369" w:rsidP="00687369">
      <w:pPr>
        <w:pStyle w:val="CoverPageText-JWA"/>
        <w:spacing w:before="0" w:after="0"/>
        <w:rPr>
          <w:rFonts w:ascii="Times New Roman" w:hAnsi="Times New Roman"/>
          <w:i/>
          <w:szCs w:val="24"/>
        </w:rPr>
      </w:pPr>
    </w:p>
    <w:p w:rsidR="00DD4BE7" w:rsidRPr="0078777C" w:rsidRDefault="00DD4BE7" w:rsidP="00687369">
      <w:pPr>
        <w:pStyle w:val="CoverPageText-JWA"/>
        <w:spacing w:before="0" w:after="0"/>
        <w:rPr>
          <w:rFonts w:ascii="Times New Roman" w:hAnsi="Times New Roman"/>
          <w:i/>
          <w:szCs w:val="24"/>
        </w:rPr>
      </w:pPr>
    </w:p>
    <w:p w:rsidR="0078777C" w:rsidRPr="0078777C" w:rsidRDefault="00D65822" w:rsidP="00687369">
      <w:pPr>
        <w:pStyle w:val="Date-JWA"/>
        <w:spacing w:before="0" w:after="0"/>
        <w:rPr>
          <w:rFonts w:ascii="Times New Roman" w:hAnsi="Times New Roman"/>
        </w:rPr>
      </w:pPr>
      <w:r w:rsidRPr="00687369">
        <w:rPr>
          <w:rFonts w:ascii="Times New Roman" w:hAnsi="Times New Roman"/>
          <w:noProof/>
          <w:lang w:val="en-US"/>
        </w:rPr>
        <w:drawing>
          <wp:inline distT="0" distB="0" distL="0" distR="0">
            <wp:extent cx="914400" cy="866775"/>
            <wp:effectExtent l="19050" t="0" r="0" b="0"/>
            <wp:docPr id="14" name="Picture 11" descr="logo_color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olor_large"/>
                    <pic:cNvPicPr>
                      <a:picLocks noChangeAspect="1" noChangeArrowheads="1"/>
                    </pic:cNvPicPr>
                  </pic:nvPicPr>
                  <pic:blipFill>
                    <a:blip r:embed="rId9" cstate="print"/>
                    <a:srcRect/>
                    <a:stretch>
                      <a:fillRect/>
                    </a:stretch>
                  </pic:blipFill>
                  <pic:spPr bwMode="auto">
                    <a:xfrm>
                      <a:off x="0" y="0"/>
                      <a:ext cx="914400" cy="866775"/>
                    </a:xfrm>
                    <a:prstGeom prst="rect">
                      <a:avLst/>
                    </a:prstGeom>
                    <a:noFill/>
                    <a:ln w="9525">
                      <a:noFill/>
                      <a:miter lim="800000"/>
                      <a:headEnd/>
                      <a:tailEnd/>
                    </a:ln>
                  </pic:spPr>
                </pic:pic>
              </a:graphicData>
            </a:graphic>
          </wp:inline>
        </w:drawing>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sidR="00171EFA">
        <w:rPr>
          <w:rFonts w:ascii="Times New Roman" w:hAnsi="Times New Roman"/>
        </w:rPr>
        <w:t xml:space="preserve">   </w:t>
      </w:r>
      <w:r>
        <w:rPr>
          <w:rFonts w:ascii="Times New Roman" w:hAnsi="Times New Roman"/>
        </w:rPr>
        <w:tab/>
      </w:r>
      <w:r w:rsidR="00171EFA">
        <w:rPr>
          <w:rFonts w:ascii="Times New Roman" w:hAnsi="Times New Roman"/>
        </w:rPr>
        <w:t xml:space="preserve">          </w:t>
      </w:r>
      <w:r>
        <w:rPr>
          <w:rFonts w:ascii="Times New Roman" w:hAnsi="Times New Roman"/>
        </w:rPr>
        <w:t xml:space="preserve"> </w:t>
      </w:r>
      <w:r w:rsidR="00687369">
        <w:rPr>
          <w:noProof/>
          <w:lang w:val="en-US"/>
        </w:rPr>
        <w:drawing>
          <wp:inline distT="0" distB="0" distL="0" distR="0">
            <wp:extent cx="1581781" cy="798447"/>
            <wp:effectExtent l="19050" t="0" r="0" b="0"/>
            <wp:docPr id="13" name="Picture 1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cstate="print"/>
                    <a:stretch>
                      <a:fillRect/>
                    </a:stretch>
                  </pic:blipFill>
                  <pic:spPr>
                    <a:xfrm>
                      <a:off x="0" y="0"/>
                      <a:ext cx="1586707" cy="800934"/>
                    </a:xfrm>
                    <a:prstGeom prst="rect">
                      <a:avLst/>
                    </a:prstGeom>
                  </pic:spPr>
                </pic:pic>
              </a:graphicData>
            </a:graphic>
          </wp:inline>
        </w:drawing>
      </w:r>
    </w:p>
    <w:p w:rsidR="00687369" w:rsidRDefault="00687369" w:rsidP="00687369">
      <w:pPr>
        <w:pStyle w:val="Date-JWA"/>
        <w:spacing w:before="0" w:after="0"/>
        <w:rPr>
          <w:rFonts w:ascii="Times New Roman" w:hAnsi="Times New Roman"/>
        </w:rPr>
      </w:pPr>
    </w:p>
    <w:p w:rsidR="00687369" w:rsidRDefault="00687369" w:rsidP="00687369">
      <w:pPr>
        <w:pStyle w:val="Date-JWA"/>
        <w:spacing w:before="0" w:after="0"/>
        <w:rPr>
          <w:rFonts w:ascii="Times New Roman" w:hAnsi="Times New Roman"/>
        </w:rPr>
      </w:pPr>
    </w:p>
    <w:p w:rsidR="00D65822" w:rsidRPr="00364A85" w:rsidRDefault="00DD4BE7" w:rsidP="00D65822">
      <w:pPr>
        <w:pStyle w:val="Date-JWA"/>
        <w:spacing w:before="0" w:after="0"/>
        <w:rPr>
          <w:rFonts w:ascii="Times New Roman" w:hAnsi="Times New Roman"/>
          <w:lang w:val="en-US"/>
        </w:rPr>
      </w:pPr>
      <w:r>
        <w:rPr>
          <w:rFonts w:ascii="Times New Roman" w:hAnsi="Times New Roman"/>
        </w:rPr>
        <w:t xml:space="preserve">     </w:t>
      </w:r>
      <w:r w:rsidR="0078777C">
        <w:rPr>
          <w:rFonts w:ascii="Times New Roman" w:hAnsi="Times New Roman"/>
        </w:rPr>
        <w:t>Stantec Consulting Services</w:t>
      </w:r>
      <w:r w:rsidR="00687369" w:rsidRPr="00687369">
        <w:rPr>
          <w:rFonts w:ascii="Times New Roman" w:hAnsi="Times New Roman"/>
        </w:rPr>
        <w:t xml:space="preserve"> </w:t>
      </w:r>
      <w:r w:rsidR="00687369">
        <w:rPr>
          <w:rFonts w:ascii="Times New Roman" w:hAnsi="Times New Roman"/>
        </w:rPr>
        <w:tab/>
      </w:r>
      <w:r w:rsidR="00171EFA">
        <w:rPr>
          <w:rFonts w:ascii="Times New Roman" w:hAnsi="Times New Roman"/>
        </w:rPr>
        <w:t xml:space="preserve">   </w:t>
      </w:r>
      <w:r w:rsidR="00687369">
        <w:rPr>
          <w:rFonts w:ascii="Times New Roman" w:hAnsi="Times New Roman"/>
        </w:rPr>
        <w:t xml:space="preserve">  </w:t>
      </w:r>
      <w:r w:rsidR="00687369">
        <w:rPr>
          <w:rFonts w:ascii="Times New Roman" w:hAnsi="Times New Roman"/>
        </w:rPr>
        <w:tab/>
      </w:r>
      <w:r w:rsidR="00D65822">
        <w:rPr>
          <w:rFonts w:ascii="Times New Roman" w:hAnsi="Times New Roman"/>
        </w:rPr>
        <w:tab/>
      </w:r>
      <w:r w:rsidR="00171EFA">
        <w:rPr>
          <w:rFonts w:ascii="Times New Roman" w:hAnsi="Times New Roman"/>
        </w:rPr>
        <w:t xml:space="preserve">  </w:t>
      </w:r>
      <w:r>
        <w:rPr>
          <w:rFonts w:ascii="Times New Roman" w:hAnsi="Times New Roman"/>
        </w:rPr>
        <w:t xml:space="preserve">  </w:t>
      </w:r>
      <w:r w:rsidR="00B54A90" w:rsidRPr="00B54A90">
        <w:rPr>
          <w:rFonts w:ascii="Times New Roman" w:hAnsi="Times New Roman"/>
          <w:lang w:val="en-US"/>
        </w:rPr>
        <w:t>Intrinsik Environmental Sciences (US)</w:t>
      </w:r>
    </w:p>
    <w:p w:rsidR="00D65822" w:rsidRPr="00364A85" w:rsidRDefault="00572AC9" w:rsidP="00D65822">
      <w:pPr>
        <w:pStyle w:val="Date-JWA"/>
        <w:spacing w:before="0" w:after="0"/>
        <w:rPr>
          <w:rFonts w:ascii="Times New Roman" w:hAnsi="Times New Roman"/>
          <w:lang w:val="en-US"/>
        </w:rPr>
      </w:pPr>
      <w:r>
        <w:rPr>
          <w:rFonts w:ascii="Times New Roman" w:hAnsi="Times New Roman"/>
        </w:rPr>
        <w:t xml:space="preserve">    </w:t>
      </w:r>
      <w:r w:rsidR="00DD4BE7">
        <w:rPr>
          <w:rFonts w:ascii="Times New Roman" w:hAnsi="Times New Roman"/>
        </w:rPr>
        <w:t xml:space="preserve">  </w:t>
      </w:r>
      <w:r w:rsidR="00687369" w:rsidRPr="00D65822">
        <w:rPr>
          <w:rFonts w:ascii="Times New Roman" w:hAnsi="Times New Roman"/>
        </w:rPr>
        <w:t>30 Park Drive</w:t>
      </w:r>
      <w:r>
        <w:tab/>
      </w:r>
      <w:r>
        <w:tab/>
      </w:r>
      <w:r>
        <w:tab/>
      </w:r>
      <w:r>
        <w:tab/>
      </w:r>
      <w:r>
        <w:tab/>
      </w:r>
      <w:r w:rsidR="00D65822">
        <w:t xml:space="preserve">  </w:t>
      </w:r>
      <w:r w:rsidR="00B54A90" w:rsidRPr="00B54A90">
        <w:rPr>
          <w:rFonts w:ascii="Times New Roman" w:hAnsi="Times New Roman"/>
          <w:lang w:val="en-US"/>
        </w:rPr>
        <w:t>41 Campus Drive, Suite 202</w:t>
      </w:r>
    </w:p>
    <w:p w:rsidR="00687369" w:rsidRPr="00364A85" w:rsidRDefault="0078777C" w:rsidP="00D65822">
      <w:pPr>
        <w:pStyle w:val="Date-JWA"/>
        <w:spacing w:before="0" w:after="0"/>
        <w:rPr>
          <w:rFonts w:ascii="Times New Roman" w:hAnsi="Times New Roman"/>
          <w:lang w:val="en-US"/>
        </w:rPr>
      </w:pPr>
      <w:r w:rsidRPr="00D65822">
        <w:rPr>
          <w:rFonts w:ascii="Times New Roman" w:hAnsi="Times New Roman"/>
        </w:rPr>
        <w:t>Topsham, ME 04274</w:t>
      </w:r>
      <w:r w:rsidR="00B54A90" w:rsidRPr="00B54A90">
        <w:rPr>
          <w:lang w:val="en-US"/>
        </w:rPr>
        <w:t xml:space="preserve"> </w:t>
      </w:r>
      <w:r w:rsidR="00B54A90" w:rsidRPr="00B54A90">
        <w:rPr>
          <w:lang w:val="en-US"/>
        </w:rPr>
        <w:tab/>
      </w:r>
      <w:r w:rsidR="00B54A90" w:rsidRPr="00B54A90">
        <w:rPr>
          <w:lang w:val="en-US"/>
        </w:rPr>
        <w:tab/>
      </w:r>
      <w:r w:rsidR="00B54A90" w:rsidRPr="00B54A90">
        <w:rPr>
          <w:lang w:val="en-US"/>
        </w:rPr>
        <w:tab/>
        <w:t xml:space="preserve">  </w:t>
      </w:r>
      <w:r w:rsidR="00B54A90" w:rsidRPr="00B54A90">
        <w:rPr>
          <w:lang w:val="en-US"/>
        </w:rPr>
        <w:tab/>
        <w:t xml:space="preserve">   </w:t>
      </w:r>
      <w:r w:rsidR="00687369" w:rsidRPr="00D65822">
        <w:rPr>
          <w:rFonts w:ascii="Times New Roman" w:hAnsi="Times New Roman"/>
        </w:rPr>
        <w:t>New Gloucester, ME 04260</w:t>
      </w:r>
    </w:p>
    <w:p w:rsidR="0078777C" w:rsidRDefault="0078777C" w:rsidP="00687369">
      <w:pPr>
        <w:pStyle w:val="Date-JWA"/>
        <w:spacing w:before="0" w:after="0"/>
        <w:rPr>
          <w:rFonts w:ascii="Times New Roman" w:hAnsi="Times New Roman"/>
        </w:rPr>
      </w:pPr>
    </w:p>
    <w:p w:rsidR="0078777C" w:rsidRDefault="0078777C" w:rsidP="00687369">
      <w:pPr>
        <w:pStyle w:val="Date-JWA"/>
        <w:spacing w:before="0" w:after="0"/>
        <w:jc w:val="left"/>
        <w:rPr>
          <w:rFonts w:ascii="Times New Roman" w:hAnsi="Times New Roman"/>
        </w:rPr>
      </w:pPr>
    </w:p>
    <w:p w:rsidR="0078777C" w:rsidRDefault="0078777C" w:rsidP="00572AC9">
      <w:pPr>
        <w:autoSpaceDE w:val="0"/>
        <w:autoSpaceDN w:val="0"/>
        <w:adjustRightInd w:val="0"/>
        <w:rPr>
          <w:lang w:bidi="bn-IN"/>
        </w:rPr>
        <w:sectPr w:rsidR="0078777C" w:rsidSect="008A2ED3">
          <w:pgSz w:w="12242" w:h="15842" w:code="1"/>
          <w:pgMar w:top="1077" w:right="1440" w:bottom="1077" w:left="1440" w:header="709" w:footer="709" w:gutter="0"/>
          <w:pgNumType w:fmt="lowerRoman" w:start="1"/>
          <w:cols w:space="708"/>
          <w:docGrid w:linePitch="360"/>
        </w:sectPr>
      </w:pPr>
    </w:p>
    <w:p w:rsidR="0078777C" w:rsidRPr="00687369" w:rsidRDefault="0078777C" w:rsidP="0078777C">
      <w:pPr>
        <w:autoSpaceDE w:val="0"/>
        <w:autoSpaceDN w:val="0"/>
        <w:adjustRightInd w:val="0"/>
        <w:rPr>
          <w:bCs/>
          <w:color w:val="FF0000"/>
          <w:lang w:bidi="bn-IN"/>
        </w:rPr>
      </w:pPr>
    </w:p>
    <w:p w:rsidR="0078777C" w:rsidRPr="00CF33BF" w:rsidRDefault="00F632FF" w:rsidP="0078777C">
      <w:pPr>
        <w:autoSpaceDE w:val="0"/>
        <w:autoSpaceDN w:val="0"/>
        <w:adjustRightInd w:val="0"/>
        <w:rPr>
          <w:bCs/>
          <w:i/>
          <w:sz w:val="24"/>
          <w:szCs w:val="24"/>
          <w:lang w:bidi="bn-IN"/>
        </w:rPr>
      </w:pPr>
      <w:r w:rsidRPr="00F632FF">
        <w:rPr>
          <w:bCs/>
          <w:i/>
          <w:sz w:val="24"/>
          <w:szCs w:val="24"/>
          <w:lang w:bidi="bn-IN"/>
        </w:rPr>
        <w:t xml:space="preserve">This report was prepared and submitted by: </w:t>
      </w:r>
    </w:p>
    <w:p w:rsidR="0078777C" w:rsidRDefault="0078777C" w:rsidP="0078777C">
      <w:pPr>
        <w:autoSpaceDE w:val="0"/>
        <w:autoSpaceDN w:val="0"/>
        <w:adjustRightInd w:val="0"/>
        <w:rPr>
          <w:bCs/>
          <w:lang w:bidi="bn-IN"/>
        </w:rPr>
      </w:pPr>
    </w:p>
    <w:p w:rsidR="0078777C" w:rsidRPr="00364A85" w:rsidRDefault="0078777C" w:rsidP="0078777C">
      <w:pPr>
        <w:rPr>
          <w:lang w:val="en-US"/>
        </w:rPr>
      </w:pPr>
    </w:p>
    <w:p w:rsidR="0078777C" w:rsidRPr="00364A85" w:rsidRDefault="003D455E" w:rsidP="00687369">
      <w:pPr>
        <w:jc w:val="center"/>
        <w:rPr>
          <w:lang w:val="en-US"/>
        </w:rPr>
      </w:pPr>
      <w:r>
        <w:rPr>
          <w:noProof/>
          <w:lang w:val="en-US"/>
        </w:rPr>
        <w:drawing>
          <wp:anchor distT="0" distB="0" distL="114300" distR="114300" simplePos="0" relativeHeight="251660288" behindDoc="0" locked="0" layoutInCell="1" allowOverlap="1">
            <wp:simplePos x="0" y="0"/>
            <wp:positionH relativeFrom="column">
              <wp:posOffset>3853815</wp:posOffset>
            </wp:positionH>
            <wp:positionV relativeFrom="paragraph">
              <wp:posOffset>120015</wp:posOffset>
            </wp:positionV>
            <wp:extent cx="1468120" cy="532130"/>
            <wp:effectExtent l="19050" t="0" r="0" b="0"/>
            <wp:wrapSquare wrapText="bothSides"/>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l="7906" t="8086" r="13043" b="15103"/>
                    <a:stretch>
                      <a:fillRect/>
                    </a:stretch>
                  </pic:blipFill>
                  <pic:spPr bwMode="auto">
                    <a:xfrm>
                      <a:off x="0" y="0"/>
                      <a:ext cx="1468120" cy="532130"/>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59264" behindDoc="1" locked="0" layoutInCell="1" allowOverlap="1">
            <wp:simplePos x="0" y="0"/>
            <wp:positionH relativeFrom="column">
              <wp:posOffset>817245</wp:posOffset>
            </wp:positionH>
            <wp:positionV relativeFrom="paragraph">
              <wp:posOffset>100330</wp:posOffset>
            </wp:positionV>
            <wp:extent cx="1134110" cy="552450"/>
            <wp:effectExtent l="19050" t="0" r="8890" b="0"/>
            <wp:wrapNone/>
            <wp:docPr id="19" name="Picture 19" descr="DRJ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RJ_SIG"/>
                    <pic:cNvPicPr>
                      <a:picLocks noChangeAspect="1" noChangeArrowheads="1"/>
                    </pic:cNvPicPr>
                  </pic:nvPicPr>
                  <pic:blipFill>
                    <a:blip r:embed="rId15" cstate="print"/>
                    <a:srcRect/>
                    <a:stretch>
                      <a:fillRect/>
                    </a:stretch>
                  </pic:blipFill>
                  <pic:spPr bwMode="auto">
                    <a:xfrm>
                      <a:off x="0" y="0"/>
                      <a:ext cx="1134110" cy="552450"/>
                    </a:xfrm>
                    <a:prstGeom prst="rect">
                      <a:avLst/>
                    </a:prstGeom>
                    <a:noFill/>
                    <a:ln w="9525">
                      <a:noFill/>
                      <a:miter lim="800000"/>
                      <a:headEnd/>
                      <a:tailEnd/>
                    </a:ln>
                  </pic:spPr>
                </pic:pic>
              </a:graphicData>
            </a:graphic>
          </wp:anchor>
        </w:drawing>
      </w:r>
    </w:p>
    <w:p w:rsidR="0078777C" w:rsidRPr="00364A85" w:rsidRDefault="0078777C" w:rsidP="00171EFA">
      <w:pPr>
        <w:ind w:left="720"/>
        <w:rPr>
          <w:lang w:val="en-US"/>
        </w:rPr>
      </w:pPr>
    </w:p>
    <w:p w:rsidR="00687369" w:rsidRPr="00364A85" w:rsidRDefault="00B54A90" w:rsidP="003D455E">
      <w:pPr>
        <w:tabs>
          <w:tab w:val="left" w:pos="5760"/>
          <w:tab w:val="left" w:pos="8640"/>
        </w:tabs>
        <w:ind w:left="630"/>
        <w:jc w:val="center"/>
        <w:rPr>
          <w:lang w:val="en-US"/>
        </w:rPr>
      </w:pPr>
      <w:r w:rsidRPr="00B54A90">
        <w:rPr>
          <w:lang w:val="en-US"/>
        </w:rPr>
        <w:t xml:space="preserve">  </w:t>
      </w:r>
      <w:r w:rsidRPr="00B54A90">
        <w:rPr>
          <w:lang w:val="en-US"/>
        </w:rPr>
        <w:tab/>
      </w:r>
      <w:r w:rsidRPr="00B54A90">
        <w:rPr>
          <w:lang w:val="en-US"/>
        </w:rPr>
        <w:tab/>
      </w:r>
      <w:r w:rsidRPr="00B54A90">
        <w:rPr>
          <w:lang w:val="en-US"/>
        </w:rPr>
        <w:tab/>
      </w:r>
      <w:r w:rsidRPr="00B54A90">
        <w:rPr>
          <w:lang w:val="en-US"/>
        </w:rPr>
        <w:tab/>
      </w:r>
      <w:r w:rsidRPr="00B54A90">
        <w:rPr>
          <w:lang w:val="en-US"/>
        </w:rPr>
        <w:tab/>
      </w:r>
      <w:r w:rsidRPr="00B54A90">
        <w:rPr>
          <w:lang w:val="en-US"/>
        </w:rPr>
        <w:tab/>
        <w:t>______________________________</w:t>
      </w:r>
    </w:p>
    <w:p w:rsidR="00687369" w:rsidRPr="00364A85" w:rsidRDefault="00B54A90" w:rsidP="00687369">
      <w:pPr>
        <w:spacing w:after="0" w:line="240" w:lineRule="auto"/>
        <w:jc w:val="center"/>
        <w:rPr>
          <w:sz w:val="24"/>
          <w:szCs w:val="24"/>
          <w:lang w:val="en-US"/>
        </w:rPr>
      </w:pPr>
      <w:r w:rsidRPr="00B54A90">
        <w:rPr>
          <w:sz w:val="24"/>
          <w:szCs w:val="24"/>
          <w:lang w:val="en-US"/>
        </w:rPr>
        <w:t xml:space="preserve"> </w:t>
      </w:r>
      <w:r w:rsidRPr="00B54A90">
        <w:rPr>
          <w:sz w:val="24"/>
          <w:szCs w:val="24"/>
          <w:lang w:val="en-US"/>
        </w:rPr>
        <w:tab/>
        <w:t>Dwayne R.J. Moore, Ph.D.</w:t>
      </w:r>
      <w:r w:rsidRPr="00B54A90">
        <w:rPr>
          <w:sz w:val="24"/>
          <w:szCs w:val="24"/>
          <w:lang w:val="en-US"/>
        </w:rPr>
        <w:tab/>
      </w:r>
      <w:r w:rsidRPr="00B54A90">
        <w:rPr>
          <w:sz w:val="24"/>
          <w:szCs w:val="24"/>
          <w:lang w:val="en-US"/>
        </w:rPr>
        <w:tab/>
      </w:r>
      <w:r w:rsidRPr="00B54A90">
        <w:rPr>
          <w:sz w:val="24"/>
          <w:szCs w:val="24"/>
          <w:lang w:val="en-US"/>
        </w:rPr>
        <w:tab/>
      </w:r>
      <w:r w:rsidRPr="00B54A90">
        <w:rPr>
          <w:sz w:val="24"/>
          <w:szCs w:val="24"/>
          <w:lang w:val="en-US"/>
        </w:rPr>
        <w:tab/>
        <w:t>Kerrie J. Beckett, Ph.D.</w:t>
      </w:r>
      <w:r w:rsidRPr="00B54A90">
        <w:rPr>
          <w:sz w:val="24"/>
          <w:szCs w:val="24"/>
          <w:lang w:val="en-US"/>
        </w:rPr>
        <w:tab/>
      </w:r>
      <w:r w:rsidRPr="00B54A90">
        <w:rPr>
          <w:sz w:val="24"/>
          <w:szCs w:val="24"/>
          <w:lang w:val="en-US"/>
        </w:rPr>
        <w:tab/>
      </w:r>
    </w:p>
    <w:p w:rsidR="00687369" w:rsidRPr="00364A85" w:rsidRDefault="00B54A90" w:rsidP="00687369">
      <w:pPr>
        <w:spacing w:after="0" w:line="240" w:lineRule="auto"/>
        <w:rPr>
          <w:sz w:val="24"/>
          <w:szCs w:val="24"/>
          <w:lang w:val="en-US"/>
        </w:rPr>
      </w:pPr>
      <w:r w:rsidRPr="00B54A90">
        <w:rPr>
          <w:sz w:val="24"/>
          <w:szCs w:val="24"/>
          <w:lang w:val="en-US"/>
        </w:rPr>
        <w:t xml:space="preserve">       </w:t>
      </w:r>
      <w:r w:rsidRPr="00B54A90">
        <w:rPr>
          <w:sz w:val="24"/>
          <w:szCs w:val="24"/>
          <w:lang w:val="en-US"/>
        </w:rPr>
        <w:tab/>
      </w:r>
      <w:proofErr w:type="gramStart"/>
      <w:r w:rsidRPr="00B54A90">
        <w:rPr>
          <w:rFonts w:cs="Times New Roman"/>
          <w:sz w:val="24"/>
          <w:szCs w:val="24"/>
          <w:lang w:val="en-US"/>
        </w:rPr>
        <w:t>Intrinsik Environmental Sciences (US), Inc.</w:t>
      </w:r>
      <w:proofErr w:type="gramEnd"/>
      <w:r w:rsidRPr="00B54A90">
        <w:rPr>
          <w:rFonts w:cs="Times New Roman"/>
          <w:sz w:val="24"/>
          <w:szCs w:val="24"/>
          <w:lang w:val="en-US"/>
        </w:rPr>
        <w:tab/>
      </w:r>
      <w:r w:rsidRPr="00B54A90">
        <w:rPr>
          <w:rFonts w:cs="Times New Roman"/>
          <w:sz w:val="24"/>
          <w:szCs w:val="24"/>
          <w:lang w:val="en-US"/>
        </w:rPr>
        <w:tab/>
      </w:r>
      <w:proofErr w:type="gramStart"/>
      <w:r w:rsidRPr="00B54A90">
        <w:rPr>
          <w:sz w:val="24"/>
          <w:szCs w:val="24"/>
          <w:lang w:val="en-US"/>
        </w:rPr>
        <w:t>Stantec Consulting Services, Inc.</w:t>
      </w:r>
      <w:proofErr w:type="gramEnd"/>
      <w:r w:rsidRPr="00B54A90">
        <w:rPr>
          <w:sz w:val="24"/>
          <w:szCs w:val="24"/>
          <w:lang w:val="en-US"/>
        </w:rPr>
        <w:tab/>
        <w:t xml:space="preserve"> </w:t>
      </w:r>
    </w:p>
    <w:p w:rsidR="00C43114" w:rsidRPr="00364A85" w:rsidRDefault="00B54A90" w:rsidP="003D455E">
      <w:pPr>
        <w:tabs>
          <w:tab w:val="left" w:pos="720"/>
          <w:tab w:val="left" w:pos="900"/>
        </w:tabs>
        <w:spacing w:after="0" w:line="240" w:lineRule="auto"/>
        <w:rPr>
          <w:sz w:val="24"/>
          <w:szCs w:val="24"/>
          <w:lang w:val="en-US"/>
        </w:rPr>
      </w:pPr>
      <w:r w:rsidRPr="00B54A90">
        <w:rPr>
          <w:sz w:val="24"/>
          <w:szCs w:val="24"/>
          <w:lang w:val="en-US"/>
        </w:rPr>
        <w:tab/>
        <w:t xml:space="preserve">Senior Vice President, Senior Scientist </w:t>
      </w:r>
      <w:r w:rsidRPr="00B54A90">
        <w:rPr>
          <w:sz w:val="24"/>
          <w:szCs w:val="24"/>
          <w:lang w:val="en-US"/>
        </w:rPr>
        <w:tab/>
      </w:r>
      <w:r w:rsidRPr="00B54A90">
        <w:rPr>
          <w:sz w:val="24"/>
          <w:szCs w:val="24"/>
          <w:lang w:val="en-US"/>
        </w:rPr>
        <w:tab/>
        <w:t xml:space="preserve">Senior Scientist, </w:t>
      </w:r>
      <w:r w:rsidR="00F632FF">
        <w:rPr>
          <w:sz w:val="24"/>
          <w:szCs w:val="24"/>
        </w:rPr>
        <w:t>Ecotoxicologist</w:t>
      </w:r>
      <w:r w:rsidRPr="00B54A90">
        <w:rPr>
          <w:sz w:val="24"/>
          <w:szCs w:val="24"/>
          <w:lang w:val="en-US"/>
        </w:rPr>
        <w:tab/>
      </w:r>
      <w:r w:rsidRPr="00B54A90">
        <w:rPr>
          <w:sz w:val="24"/>
          <w:szCs w:val="24"/>
          <w:lang w:val="en-US"/>
        </w:rPr>
        <w:tab/>
      </w:r>
      <w:r w:rsidRPr="00B54A90">
        <w:rPr>
          <w:sz w:val="24"/>
          <w:szCs w:val="24"/>
          <w:lang w:val="en-US"/>
        </w:rPr>
        <w:tab/>
      </w:r>
    </w:p>
    <w:p w:rsidR="0078777C" w:rsidRPr="00364A85" w:rsidRDefault="00572AC9" w:rsidP="00572AC9">
      <w:pPr>
        <w:spacing w:after="0" w:line="240" w:lineRule="auto"/>
        <w:rPr>
          <w:sz w:val="24"/>
          <w:szCs w:val="24"/>
          <w:lang w:val="en-US"/>
        </w:rPr>
      </w:pPr>
      <w:r w:rsidRPr="00572AC9">
        <w:rPr>
          <w:sz w:val="24"/>
          <w:szCs w:val="24"/>
        </w:rPr>
        <w:t xml:space="preserve">  </w:t>
      </w:r>
      <w:r>
        <w:rPr>
          <w:sz w:val="24"/>
          <w:szCs w:val="24"/>
        </w:rPr>
        <w:tab/>
      </w:r>
      <w:r w:rsidRPr="00572AC9">
        <w:rPr>
          <w:sz w:val="24"/>
          <w:szCs w:val="24"/>
        </w:rPr>
        <w:t xml:space="preserve"> </w:t>
      </w:r>
    </w:p>
    <w:p w:rsidR="0099279C" w:rsidRPr="0099279C" w:rsidRDefault="0099279C" w:rsidP="0099279C">
      <w:pPr>
        <w:pStyle w:val="BodyText"/>
        <w:rPr>
          <w:rFonts w:ascii="Times New Roman" w:hAnsi="Times New Roman" w:cs="Times New Roman"/>
          <w:sz w:val="24"/>
          <w:szCs w:val="24"/>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171EFA">
      <w:pPr>
        <w:autoSpaceDE w:val="0"/>
        <w:autoSpaceDN w:val="0"/>
        <w:adjustRightInd w:val="0"/>
        <w:rPr>
          <w:lang w:bidi="bn-IN"/>
        </w:rPr>
      </w:pPr>
    </w:p>
    <w:p w:rsidR="00687369" w:rsidRDefault="00687369" w:rsidP="00171EFA">
      <w:pPr>
        <w:autoSpaceDE w:val="0"/>
        <w:autoSpaceDN w:val="0"/>
        <w:adjustRightInd w:val="0"/>
        <w:jc w:val="center"/>
        <w:rPr>
          <w:lang w:bidi="bn-IN"/>
        </w:rPr>
      </w:pPr>
    </w:p>
    <w:p w:rsidR="00687369" w:rsidRDefault="00687369" w:rsidP="00687369">
      <w:pPr>
        <w:autoSpaceDE w:val="0"/>
        <w:autoSpaceDN w:val="0"/>
        <w:adjustRightInd w:val="0"/>
        <w:jc w:val="right"/>
        <w:rPr>
          <w:lang w:bidi="bn-IN"/>
        </w:rPr>
      </w:pPr>
    </w:p>
    <w:p w:rsidR="00687369" w:rsidRPr="00583A74" w:rsidRDefault="00572AC9" w:rsidP="00687369">
      <w:pPr>
        <w:autoSpaceDE w:val="0"/>
        <w:autoSpaceDN w:val="0"/>
        <w:adjustRightInd w:val="0"/>
        <w:jc w:val="right"/>
        <w:rPr>
          <w:lang w:bidi="bn-IN"/>
        </w:rPr>
      </w:pPr>
      <w:r w:rsidRPr="00572AC9">
        <w:rPr>
          <w:lang w:bidi="bn-IN"/>
        </w:rPr>
        <w:t>Project #19560659</w:t>
      </w:r>
    </w:p>
    <w:p w:rsidR="00171EFA" w:rsidRDefault="00171EFA">
      <w:pPr>
        <w:rPr>
          <w:rFonts w:eastAsia="Times New Roman" w:cs="Times New Roman"/>
          <w:sz w:val="24"/>
          <w:szCs w:val="24"/>
          <w:lang w:val="en-US"/>
        </w:rPr>
      </w:pPr>
      <w:r>
        <w:rPr>
          <w:rFonts w:cs="Times New Roman"/>
          <w:sz w:val="24"/>
          <w:szCs w:val="24"/>
        </w:rPr>
        <w:br w:type="page"/>
      </w:r>
    </w:p>
    <w:p w:rsidR="0009554B" w:rsidRDefault="0009554B" w:rsidP="0099279C">
      <w:pPr>
        <w:pStyle w:val="TableofContents"/>
        <w:rPr>
          <w:rFonts w:ascii="Times New Roman" w:hAnsi="Times New Roman" w:cs="Times New Roman"/>
          <w:szCs w:val="28"/>
        </w:rPr>
        <w:sectPr w:rsidR="0009554B" w:rsidSect="0078389C">
          <w:footerReference w:type="default" r:id="rId16"/>
          <w:pgSz w:w="12240" w:h="15840"/>
          <w:pgMar w:top="1440" w:right="1440" w:bottom="1440" w:left="1440" w:header="708" w:footer="708" w:gutter="0"/>
          <w:pgNumType w:start="3"/>
          <w:cols w:space="708"/>
          <w:docGrid w:linePitch="360"/>
        </w:sectPr>
      </w:pPr>
    </w:p>
    <w:p w:rsidR="0009554B" w:rsidRDefault="0009554B" w:rsidP="0099279C">
      <w:pPr>
        <w:pStyle w:val="TableofContents"/>
        <w:rPr>
          <w:rFonts w:ascii="Times New Roman" w:hAnsi="Times New Roman" w:cs="Times New Roman"/>
          <w:szCs w:val="28"/>
        </w:rPr>
      </w:pPr>
      <w:r>
        <w:rPr>
          <w:rFonts w:ascii="Times New Roman" w:hAnsi="Times New Roman" w:cs="Times New Roman"/>
          <w:szCs w:val="28"/>
        </w:rPr>
        <w:t>EXECUTIVE SUMMARY</w:t>
      </w:r>
    </w:p>
    <w:p w:rsidR="0009554B" w:rsidRDefault="0009554B" w:rsidP="0099279C">
      <w:pPr>
        <w:pStyle w:val="TableofContents"/>
        <w:rPr>
          <w:rFonts w:ascii="Times New Roman" w:hAnsi="Times New Roman" w:cs="Times New Roman"/>
          <w:szCs w:val="28"/>
        </w:rPr>
      </w:pPr>
    </w:p>
    <w:p w:rsidR="0009554B" w:rsidRDefault="00092BBC" w:rsidP="0009554B">
      <w:pPr>
        <w:rPr>
          <w:rFonts w:cs="Times New Roman"/>
          <w:sz w:val="24"/>
          <w:szCs w:val="24"/>
        </w:rPr>
      </w:pPr>
      <w:r>
        <w:rPr>
          <w:rFonts w:cs="Times New Roman"/>
          <w:sz w:val="24"/>
          <w:szCs w:val="24"/>
        </w:rPr>
        <w:t>The a</w:t>
      </w:r>
      <w:r w:rsidR="0009554B">
        <w:rPr>
          <w:rFonts w:cs="Times New Roman"/>
          <w:sz w:val="24"/>
          <w:szCs w:val="24"/>
        </w:rPr>
        <w:t>pplication of bait pellets containing either brodifacoum or diphacinone</w:t>
      </w:r>
      <w:r w:rsidR="0009554B" w:rsidRPr="0099279C">
        <w:rPr>
          <w:rFonts w:cs="Times New Roman"/>
          <w:sz w:val="24"/>
          <w:szCs w:val="24"/>
        </w:rPr>
        <w:t xml:space="preserve"> is being considered </w:t>
      </w:r>
      <w:r w:rsidR="000B0E72">
        <w:rPr>
          <w:rFonts w:cs="Times New Roman"/>
          <w:sz w:val="24"/>
          <w:szCs w:val="24"/>
        </w:rPr>
        <w:t xml:space="preserve">along with a range of other techniques </w:t>
      </w:r>
      <w:r w:rsidR="0009554B" w:rsidRPr="0099279C">
        <w:rPr>
          <w:rFonts w:cs="Times New Roman"/>
          <w:sz w:val="24"/>
          <w:szCs w:val="24"/>
        </w:rPr>
        <w:t xml:space="preserve">to eradicate </w:t>
      </w:r>
      <w:r w:rsidR="003427EB">
        <w:rPr>
          <w:rFonts w:cs="Times New Roman"/>
          <w:sz w:val="24"/>
          <w:szCs w:val="24"/>
        </w:rPr>
        <w:t xml:space="preserve">non-native house </w:t>
      </w:r>
      <w:r w:rsidR="0009554B" w:rsidRPr="0099279C">
        <w:rPr>
          <w:rFonts w:cs="Times New Roman"/>
          <w:sz w:val="24"/>
          <w:szCs w:val="24"/>
        </w:rPr>
        <w:t xml:space="preserve">mice </w:t>
      </w:r>
      <w:r w:rsidR="003427EB">
        <w:rPr>
          <w:rFonts w:cs="Times New Roman"/>
          <w:sz w:val="24"/>
          <w:szCs w:val="24"/>
        </w:rPr>
        <w:t>(</w:t>
      </w:r>
      <w:r w:rsidR="00AC0BF7" w:rsidRPr="00767A21">
        <w:rPr>
          <w:rFonts w:cs="Times New Roman"/>
          <w:i/>
          <w:sz w:val="24"/>
          <w:szCs w:val="24"/>
        </w:rPr>
        <w:t>Mus musculus</w:t>
      </w:r>
      <w:r w:rsidR="003427EB">
        <w:rPr>
          <w:rFonts w:cs="Times New Roman"/>
          <w:sz w:val="24"/>
          <w:szCs w:val="24"/>
        </w:rPr>
        <w:t xml:space="preserve">) </w:t>
      </w:r>
      <w:r w:rsidR="0009554B" w:rsidRPr="0099279C">
        <w:rPr>
          <w:rFonts w:cs="Times New Roman"/>
          <w:sz w:val="24"/>
          <w:szCs w:val="24"/>
        </w:rPr>
        <w:t>from South Farallon Islands</w:t>
      </w:r>
      <w:r w:rsidR="00364A85">
        <w:rPr>
          <w:rFonts w:cs="Times New Roman"/>
          <w:sz w:val="24"/>
          <w:szCs w:val="24"/>
        </w:rPr>
        <w:t xml:space="preserve"> (SFI)</w:t>
      </w:r>
      <w:r w:rsidR="003427EB">
        <w:rPr>
          <w:rFonts w:cs="Times New Roman"/>
          <w:sz w:val="24"/>
          <w:szCs w:val="24"/>
        </w:rPr>
        <w:t>, California</w:t>
      </w:r>
      <w:r w:rsidR="0009554B" w:rsidRPr="0099279C">
        <w:rPr>
          <w:rFonts w:cs="Times New Roman"/>
          <w:sz w:val="24"/>
          <w:szCs w:val="24"/>
        </w:rPr>
        <w:t>.</w:t>
      </w:r>
      <w:r w:rsidR="0009554B">
        <w:rPr>
          <w:sz w:val="24"/>
          <w:szCs w:val="24"/>
        </w:rPr>
        <w:t xml:space="preserve"> </w:t>
      </w:r>
      <w:r w:rsidR="00364A85">
        <w:rPr>
          <w:sz w:val="24"/>
          <w:szCs w:val="24"/>
        </w:rPr>
        <w:t xml:space="preserve">Of </w:t>
      </w:r>
      <w:r w:rsidR="005B1296">
        <w:rPr>
          <w:sz w:val="24"/>
          <w:szCs w:val="24"/>
        </w:rPr>
        <w:t xml:space="preserve">concern is the risk </w:t>
      </w:r>
      <w:r w:rsidR="00364A85">
        <w:rPr>
          <w:sz w:val="24"/>
          <w:szCs w:val="24"/>
        </w:rPr>
        <w:t xml:space="preserve">that </w:t>
      </w:r>
      <w:r w:rsidR="005B1296">
        <w:rPr>
          <w:sz w:val="24"/>
          <w:szCs w:val="24"/>
        </w:rPr>
        <w:t xml:space="preserve">these </w:t>
      </w:r>
      <w:r w:rsidR="00364A85">
        <w:rPr>
          <w:sz w:val="24"/>
          <w:szCs w:val="24"/>
        </w:rPr>
        <w:t xml:space="preserve">rodenticide </w:t>
      </w:r>
      <w:r w:rsidR="005B1296">
        <w:rPr>
          <w:sz w:val="24"/>
          <w:szCs w:val="24"/>
        </w:rPr>
        <w:t xml:space="preserve">products </w:t>
      </w:r>
      <w:r w:rsidR="00DB4093">
        <w:rPr>
          <w:sz w:val="24"/>
          <w:szCs w:val="24"/>
        </w:rPr>
        <w:t xml:space="preserve">could </w:t>
      </w:r>
      <w:r w:rsidR="005B1296">
        <w:rPr>
          <w:sz w:val="24"/>
          <w:szCs w:val="24"/>
        </w:rPr>
        <w:t>have to western gulls (</w:t>
      </w:r>
      <w:r w:rsidR="00AC0BF7" w:rsidRPr="00767A21">
        <w:rPr>
          <w:i/>
          <w:sz w:val="24"/>
          <w:szCs w:val="24"/>
        </w:rPr>
        <w:t>Larus occidentalis</w:t>
      </w:r>
      <w:r w:rsidR="005B1296">
        <w:rPr>
          <w:sz w:val="24"/>
          <w:szCs w:val="24"/>
        </w:rPr>
        <w:t xml:space="preserve">) that occur on the islands. </w:t>
      </w:r>
      <w:r w:rsidR="0009554B">
        <w:rPr>
          <w:rFonts w:cs="Times New Roman"/>
          <w:sz w:val="24"/>
          <w:szCs w:val="24"/>
        </w:rPr>
        <w:t>Because western gulls are gregarious</w:t>
      </w:r>
      <w:r w:rsidR="0009554B" w:rsidRPr="000D489B">
        <w:rPr>
          <w:rFonts w:cs="Times New Roman"/>
          <w:sz w:val="24"/>
          <w:szCs w:val="24"/>
        </w:rPr>
        <w:t xml:space="preserve"> omnivore</w:t>
      </w:r>
      <w:r w:rsidR="0009554B">
        <w:rPr>
          <w:rFonts w:cs="Times New Roman"/>
          <w:sz w:val="24"/>
          <w:szCs w:val="24"/>
        </w:rPr>
        <w:t>s</w:t>
      </w:r>
      <w:r w:rsidR="0009554B" w:rsidRPr="000D489B">
        <w:rPr>
          <w:rFonts w:cs="Times New Roman"/>
          <w:sz w:val="24"/>
          <w:szCs w:val="24"/>
        </w:rPr>
        <w:t xml:space="preserve">, </w:t>
      </w:r>
      <w:r w:rsidR="0009554B">
        <w:rPr>
          <w:rFonts w:cs="Times New Roman"/>
          <w:sz w:val="24"/>
          <w:szCs w:val="24"/>
        </w:rPr>
        <w:t>they</w:t>
      </w:r>
      <w:r w:rsidR="0009554B" w:rsidRPr="000D489B">
        <w:rPr>
          <w:rFonts w:cs="Times New Roman"/>
          <w:sz w:val="24"/>
          <w:szCs w:val="24"/>
        </w:rPr>
        <w:t xml:space="preserve"> could be at risk of exposure by ingestion of </w:t>
      </w:r>
      <w:r w:rsidR="00364A85">
        <w:rPr>
          <w:rFonts w:cs="Times New Roman"/>
          <w:sz w:val="24"/>
          <w:szCs w:val="24"/>
        </w:rPr>
        <w:t xml:space="preserve">baits </w:t>
      </w:r>
      <w:r w:rsidR="0009554B" w:rsidRPr="000D489B">
        <w:rPr>
          <w:rFonts w:cs="Times New Roman"/>
          <w:sz w:val="24"/>
          <w:szCs w:val="24"/>
        </w:rPr>
        <w:t xml:space="preserve">or </w:t>
      </w:r>
      <w:r w:rsidR="00096F1D">
        <w:rPr>
          <w:rFonts w:cs="Times New Roman"/>
          <w:sz w:val="24"/>
          <w:szCs w:val="24"/>
        </w:rPr>
        <w:t xml:space="preserve">exposed </w:t>
      </w:r>
      <w:r w:rsidR="0009554B" w:rsidRPr="000D489B">
        <w:rPr>
          <w:rFonts w:cs="Times New Roman"/>
          <w:sz w:val="24"/>
          <w:szCs w:val="24"/>
        </w:rPr>
        <w:t xml:space="preserve">mice </w:t>
      </w:r>
      <w:r w:rsidR="0009554B">
        <w:rPr>
          <w:rFonts w:cs="Times New Roman"/>
          <w:sz w:val="24"/>
          <w:szCs w:val="24"/>
        </w:rPr>
        <w:t xml:space="preserve">should </w:t>
      </w:r>
      <w:r w:rsidR="00096F1D">
        <w:rPr>
          <w:rFonts w:cs="Times New Roman"/>
          <w:sz w:val="24"/>
          <w:szCs w:val="24"/>
        </w:rPr>
        <w:t xml:space="preserve">the gulls </w:t>
      </w:r>
      <w:r w:rsidR="0009554B">
        <w:rPr>
          <w:rFonts w:cs="Times New Roman"/>
          <w:sz w:val="24"/>
          <w:szCs w:val="24"/>
        </w:rPr>
        <w:t>be present</w:t>
      </w:r>
      <w:r w:rsidR="0009554B" w:rsidRPr="000D489B">
        <w:rPr>
          <w:rFonts w:cs="Times New Roman"/>
          <w:sz w:val="24"/>
          <w:szCs w:val="24"/>
        </w:rPr>
        <w:t xml:space="preserve"> on the island when </w:t>
      </w:r>
      <w:r w:rsidR="0009554B">
        <w:rPr>
          <w:rFonts w:cs="Times New Roman"/>
          <w:sz w:val="24"/>
          <w:szCs w:val="24"/>
        </w:rPr>
        <w:t xml:space="preserve">the </w:t>
      </w:r>
      <w:r w:rsidR="0009554B" w:rsidRPr="000D489B">
        <w:rPr>
          <w:rFonts w:cs="Times New Roman"/>
          <w:sz w:val="24"/>
          <w:szCs w:val="24"/>
        </w:rPr>
        <w:t>bait is present.</w:t>
      </w:r>
      <w:r w:rsidR="0051511B">
        <w:rPr>
          <w:rFonts w:cs="Times New Roman"/>
          <w:sz w:val="24"/>
          <w:szCs w:val="24"/>
        </w:rPr>
        <w:t xml:space="preserve"> Given this concern, we undertook a probabilistic assessment of the risks posed by </w:t>
      </w:r>
      <w:r w:rsidR="00364A85">
        <w:rPr>
          <w:rFonts w:cs="Times New Roman"/>
          <w:sz w:val="24"/>
          <w:szCs w:val="24"/>
        </w:rPr>
        <w:t xml:space="preserve">the </w:t>
      </w:r>
      <w:r w:rsidR="0051511B">
        <w:rPr>
          <w:rFonts w:cs="Times New Roman"/>
          <w:sz w:val="24"/>
          <w:szCs w:val="24"/>
        </w:rPr>
        <w:t xml:space="preserve">application of </w:t>
      </w:r>
      <w:r w:rsidR="00364A85">
        <w:rPr>
          <w:rFonts w:cs="Times New Roman"/>
          <w:sz w:val="24"/>
          <w:szCs w:val="24"/>
        </w:rPr>
        <w:t xml:space="preserve">bait containing either </w:t>
      </w:r>
      <w:r w:rsidR="0051511B">
        <w:rPr>
          <w:rFonts w:cs="Times New Roman"/>
          <w:sz w:val="24"/>
          <w:szCs w:val="24"/>
        </w:rPr>
        <w:t xml:space="preserve">brodifacoum or diphacinone to western gulls on </w:t>
      </w:r>
      <w:r w:rsidR="00364A85">
        <w:rPr>
          <w:rFonts w:cs="Times New Roman"/>
          <w:sz w:val="24"/>
          <w:szCs w:val="24"/>
        </w:rPr>
        <w:t>SFI</w:t>
      </w:r>
      <w:r w:rsidR="0051511B">
        <w:rPr>
          <w:rFonts w:cs="Times New Roman"/>
          <w:sz w:val="24"/>
          <w:szCs w:val="24"/>
        </w:rPr>
        <w:t>.</w:t>
      </w:r>
    </w:p>
    <w:p w:rsidR="0004069F" w:rsidRDefault="0004069F" w:rsidP="0009554B">
      <w:pPr>
        <w:rPr>
          <w:rFonts w:cs="Times New Roman"/>
          <w:sz w:val="24"/>
          <w:szCs w:val="24"/>
        </w:rPr>
      </w:pPr>
      <w:r w:rsidRPr="0099279C">
        <w:rPr>
          <w:rFonts w:cs="Times New Roman"/>
          <w:sz w:val="24"/>
          <w:szCs w:val="24"/>
        </w:rPr>
        <w:t xml:space="preserve">There are </w:t>
      </w:r>
      <w:r w:rsidR="00364A85">
        <w:rPr>
          <w:rFonts w:cs="Times New Roman"/>
          <w:sz w:val="24"/>
          <w:szCs w:val="24"/>
        </w:rPr>
        <w:t>three</w:t>
      </w:r>
      <w:r w:rsidR="00364A85" w:rsidRPr="0099279C">
        <w:rPr>
          <w:rFonts w:cs="Times New Roman"/>
          <w:sz w:val="24"/>
          <w:szCs w:val="24"/>
        </w:rPr>
        <w:t xml:space="preserve"> </w:t>
      </w:r>
      <w:r w:rsidRPr="0099279C">
        <w:rPr>
          <w:rFonts w:cs="Times New Roman"/>
          <w:sz w:val="24"/>
          <w:szCs w:val="24"/>
        </w:rPr>
        <w:t xml:space="preserve">primary techniques </w:t>
      </w:r>
      <w:r w:rsidR="00364A85">
        <w:rPr>
          <w:rFonts w:cs="Times New Roman"/>
          <w:sz w:val="24"/>
          <w:szCs w:val="24"/>
        </w:rPr>
        <w:t xml:space="preserve">for the </w:t>
      </w:r>
      <w:r w:rsidRPr="0099279C">
        <w:rPr>
          <w:rFonts w:cs="Times New Roman"/>
          <w:sz w:val="24"/>
          <w:szCs w:val="24"/>
        </w:rPr>
        <w:t>application</w:t>
      </w:r>
      <w:r>
        <w:rPr>
          <w:rFonts w:cs="Times New Roman"/>
          <w:sz w:val="24"/>
          <w:szCs w:val="24"/>
        </w:rPr>
        <w:t xml:space="preserve"> </w:t>
      </w:r>
      <w:r w:rsidR="00364A85">
        <w:rPr>
          <w:rFonts w:cs="Times New Roman"/>
          <w:sz w:val="24"/>
          <w:szCs w:val="24"/>
        </w:rPr>
        <w:t xml:space="preserve">of rodent bait </w:t>
      </w:r>
      <w:r>
        <w:rPr>
          <w:rFonts w:cs="Times New Roman"/>
          <w:sz w:val="24"/>
          <w:szCs w:val="24"/>
        </w:rPr>
        <w:t>on islands</w:t>
      </w:r>
      <w:r w:rsidR="005B1296">
        <w:rPr>
          <w:rFonts w:cs="Times New Roman"/>
          <w:sz w:val="24"/>
          <w:szCs w:val="24"/>
        </w:rPr>
        <w:t xml:space="preserve"> for eradication of rodents</w:t>
      </w:r>
      <w:r w:rsidRPr="0099279C">
        <w:rPr>
          <w:rFonts w:cs="Times New Roman"/>
          <w:sz w:val="24"/>
          <w:szCs w:val="24"/>
        </w:rPr>
        <w:t>, bait stations</w:t>
      </w:r>
      <w:r w:rsidR="00364A85">
        <w:rPr>
          <w:rFonts w:cs="Times New Roman"/>
          <w:sz w:val="24"/>
          <w:szCs w:val="24"/>
        </w:rPr>
        <w:t>, hand broadcast</w:t>
      </w:r>
      <w:r w:rsidRPr="0099279C">
        <w:rPr>
          <w:rFonts w:cs="Times New Roman"/>
          <w:sz w:val="24"/>
          <w:szCs w:val="24"/>
        </w:rPr>
        <w:t xml:space="preserve"> and aerial broadcast application</w:t>
      </w:r>
      <w:r>
        <w:rPr>
          <w:rFonts w:cs="Times New Roman"/>
          <w:sz w:val="24"/>
          <w:szCs w:val="24"/>
        </w:rPr>
        <w:t xml:space="preserve"> of bait pellets</w:t>
      </w:r>
      <w:r w:rsidRPr="0099279C">
        <w:rPr>
          <w:rFonts w:cs="Times New Roman"/>
          <w:sz w:val="24"/>
          <w:szCs w:val="24"/>
        </w:rPr>
        <w:t xml:space="preserve">. The latter is the approach proposed for </w:t>
      </w:r>
      <w:r w:rsidR="00364A85">
        <w:rPr>
          <w:rFonts w:cs="Times New Roman"/>
          <w:sz w:val="24"/>
          <w:szCs w:val="24"/>
        </w:rPr>
        <w:t xml:space="preserve">the </w:t>
      </w:r>
      <w:r w:rsidR="00CF2682">
        <w:rPr>
          <w:rFonts w:cs="Times New Roman"/>
          <w:sz w:val="24"/>
          <w:szCs w:val="24"/>
        </w:rPr>
        <w:t>South Farallon Islands</w:t>
      </w:r>
      <w:r w:rsidRPr="0099279C">
        <w:rPr>
          <w:rFonts w:cs="Times New Roman"/>
          <w:sz w:val="24"/>
          <w:szCs w:val="24"/>
        </w:rPr>
        <w:t xml:space="preserve">. </w:t>
      </w:r>
    </w:p>
    <w:p w:rsidR="006E39FD" w:rsidRDefault="006E39FD" w:rsidP="006E39FD">
      <w:pPr>
        <w:rPr>
          <w:rFonts w:cs="Times New Roman"/>
          <w:sz w:val="24"/>
          <w:szCs w:val="24"/>
          <w:lang w:val="en-US"/>
        </w:rPr>
      </w:pPr>
      <w:r w:rsidRPr="0099279C">
        <w:rPr>
          <w:rFonts w:cs="Times New Roman"/>
          <w:sz w:val="24"/>
          <w:szCs w:val="24"/>
          <w:lang w:val="en-US"/>
        </w:rPr>
        <w:t>Given the diet and behavior of western gulls and the fate of brodifacoum</w:t>
      </w:r>
      <w:r>
        <w:rPr>
          <w:rFonts w:cs="Times New Roman"/>
          <w:sz w:val="24"/>
          <w:szCs w:val="24"/>
          <w:lang w:val="en-US"/>
        </w:rPr>
        <w:t xml:space="preserve"> and diphacinone</w:t>
      </w:r>
      <w:r w:rsidRPr="0099279C">
        <w:rPr>
          <w:rFonts w:cs="Times New Roman"/>
          <w:sz w:val="24"/>
          <w:szCs w:val="24"/>
          <w:lang w:val="en-US"/>
        </w:rPr>
        <w:t xml:space="preserve"> following </w:t>
      </w:r>
      <w:r w:rsidR="00E9371A">
        <w:rPr>
          <w:rFonts w:cs="Times New Roman"/>
          <w:sz w:val="24"/>
          <w:szCs w:val="24"/>
          <w:lang w:val="en-US"/>
        </w:rPr>
        <w:t xml:space="preserve">bait </w:t>
      </w:r>
      <w:r w:rsidRPr="0099279C">
        <w:rPr>
          <w:rFonts w:cs="Times New Roman"/>
          <w:sz w:val="24"/>
          <w:szCs w:val="24"/>
          <w:lang w:val="en-US"/>
        </w:rPr>
        <w:t>application, there are two major routes of exposure</w:t>
      </w:r>
      <w:r w:rsidR="005B1296">
        <w:rPr>
          <w:rFonts w:cs="Times New Roman"/>
          <w:sz w:val="24"/>
          <w:szCs w:val="24"/>
          <w:lang w:val="en-US"/>
        </w:rPr>
        <w:t xml:space="preserve"> to gulls</w:t>
      </w:r>
      <w:r w:rsidRPr="0099279C">
        <w:rPr>
          <w:rFonts w:cs="Times New Roman"/>
          <w:sz w:val="24"/>
          <w:szCs w:val="24"/>
          <w:lang w:val="en-US"/>
        </w:rPr>
        <w:t xml:space="preserve">: ingestion of </w:t>
      </w:r>
      <w:r>
        <w:rPr>
          <w:rFonts w:cs="Times New Roman"/>
          <w:sz w:val="24"/>
          <w:szCs w:val="24"/>
          <w:lang w:val="en-US"/>
        </w:rPr>
        <w:t>rodenticide</w:t>
      </w:r>
      <w:r w:rsidR="00CF2682">
        <w:rPr>
          <w:rFonts w:cs="Times New Roman"/>
          <w:sz w:val="24"/>
          <w:szCs w:val="24"/>
          <w:lang w:val="en-US"/>
        </w:rPr>
        <w:t xml:space="preserve"> pellets (primary </w:t>
      </w:r>
      <w:r w:rsidR="005B1296">
        <w:rPr>
          <w:rFonts w:cs="Times New Roman"/>
          <w:sz w:val="24"/>
          <w:szCs w:val="24"/>
          <w:lang w:val="en-US"/>
        </w:rPr>
        <w:t>uptake</w:t>
      </w:r>
      <w:r w:rsidRPr="0099279C">
        <w:rPr>
          <w:rFonts w:cs="Times New Roman"/>
          <w:sz w:val="24"/>
          <w:szCs w:val="24"/>
          <w:lang w:val="en-US"/>
        </w:rPr>
        <w:t xml:space="preserve">), and ingestion of </w:t>
      </w:r>
      <w:r>
        <w:rPr>
          <w:rFonts w:cs="Times New Roman"/>
          <w:sz w:val="24"/>
          <w:szCs w:val="24"/>
          <w:lang w:val="en-US"/>
        </w:rPr>
        <w:t>rodenticide</w:t>
      </w:r>
      <w:r w:rsidRPr="0099279C">
        <w:rPr>
          <w:rFonts w:cs="Times New Roman"/>
          <w:sz w:val="24"/>
          <w:szCs w:val="24"/>
          <w:lang w:val="en-US"/>
        </w:rPr>
        <w:t xml:space="preserve">-contaminated mice (secondary </w:t>
      </w:r>
      <w:r w:rsidR="005B1296">
        <w:rPr>
          <w:rFonts w:cs="Times New Roman"/>
          <w:sz w:val="24"/>
          <w:szCs w:val="24"/>
          <w:lang w:val="en-US"/>
        </w:rPr>
        <w:t>uptake</w:t>
      </w:r>
      <w:r w:rsidRPr="0099279C">
        <w:rPr>
          <w:rFonts w:cs="Times New Roman"/>
          <w:sz w:val="24"/>
          <w:szCs w:val="24"/>
          <w:lang w:val="en-US"/>
        </w:rPr>
        <w:t>)</w:t>
      </w:r>
      <w:r>
        <w:rPr>
          <w:rFonts w:cs="Times New Roman"/>
          <w:sz w:val="24"/>
          <w:szCs w:val="24"/>
          <w:lang w:val="en-US"/>
        </w:rPr>
        <w:t xml:space="preserve">. </w:t>
      </w:r>
      <w:r w:rsidRPr="0099279C">
        <w:rPr>
          <w:rFonts w:cs="Times New Roman"/>
          <w:sz w:val="24"/>
          <w:szCs w:val="24"/>
          <w:lang w:val="en-US"/>
        </w:rPr>
        <w:t xml:space="preserve">We used a probabilistic model known as the western gull risk model to estimate </w:t>
      </w:r>
      <w:r>
        <w:rPr>
          <w:rFonts w:cs="Times New Roman"/>
          <w:sz w:val="24"/>
          <w:szCs w:val="24"/>
          <w:lang w:val="en-US"/>
        </w:rPr>
        <w:t>the effects of</w:t>
      </w:r>
      <w:r w:rsidRPr="0099279C">
        <w:rPr>
          <w:rFonts w:cs="Times New Roman"/>
          <w:sz w:val="24"/>
          <w:szCs w:val="24"/>
          <w:lang w:val="en-US"/>
        </w:rPr>
        <w:t xml:space="preserve"> application</w:t>
      </w:r>
      <w:r>
        <w:rPr>
          <w:rFonts w:cs="Times New Roman"/>
          <w:sz w:val="24"/>
          <w:szCs w:val="24"/>
          <w:lang w:val="en-US"/>
        </w:rPr>
        <w:t>s</w:t>
      </w:r>
      <w:r w:rsidRPr="0099279C">
        <w:rPr>
          <w:rFonts w:cs="Times New Roman"/>
          <w:sz w:val="24"/>
          <w:szCs w:val="24"/>
          <w:lang w:val="en-US"/>
        </w:rPr>
        <w:t xml:space="preserve"> of brodifacoum</w:t>
      </w:r>
      <w:r>
        <w:rPr>
          <w:rFonts w:cs="Times New Roman"/>
          <w:sz w:val="24"/>
          <w:szCs w:val="24"/>
          <w:lang w:val="en-US"/>
        </w:rPr>
        <w:t xml:space="preserve"> and diphacinone to western gulls at</w:t>
      </w:r>
      <w:r w:rsidRPr="0099279C">
        <w:rPr>
          <w:rFonts w:cs="Times New Roman"/>
          <w:sz w:val="24"/>
          <w:szCs w:val="24"/>
          <w:lang w:val="en-US"/>
        </w:rPr>
        <w:t xml:space="preserve"> </w:t>
      </w:r>
      <w:r w:rsidR="00942359">
        <w:rPr>
          <w:rFonts w:cs="Times New Roman"/>
          <w:sz w:val="24"/>
          <w:szCs w:val="24"/>
          <w:lang w:val="en-US"/>
        </w:rPr>
        <w:t>S</w:t>
      </w:r>
      <w:r w:rsidR="00364A85">
        <w:rPr>
          <w:rFonts w:cs="Times New Roman"/>
          <w:sz w:val="24"/>
          <w:szCs w:val="24"/>
          <w:lang w:val="en-US"/>
        </w:rPr>
        <w:t>FI</w:t>
      </w:r>
      <w:r w:rsidRPr="0099279C">
        <w:rPr>
          <w:rFonts w:cs="Times New Roman"/>
          <w:sz w:val="24"/>
          <w:szCs w:val="24"/>
          <w:lang w:val="en-US"/>
        </w:rPr>
        <w:t xml:space="preserve">. The exposure </w:t>
      </w:r>
      <w:r>
        <w:rPr>
          <w:rFonts w:cs="Times New Roman"/>
          <w:sz w:val="24"/>
          <w:szCs w:val="24"/>
          <w:lang w:val="en-US"/>
        </w:rPr>
        <w:t>portion of the</w:t>
      </w:r>
      <w:r w:rsidRPr="0099279C">
        <w:rPr>
          <w:rFonts w:cs="Times New Roman"/>
          <w:sz w:val="24"/>
          <w:szCs w:val="24"/>
          <w:lang w:val="en-US"/>
        </w:rPr>
        <w:t xml:space="preserve"> western gull</w:t>
      </w:r>
      <w:r>
        <w:rPr>
          <w:rFonts w:cs="Times New Roman"/>
          <w:sz w:val="24"/>
          <w:szCs w:val="24"/>
          <w:lang w:val="en-US"/>
        </w:rPr>
        <w:t xml:space="preserve"> risk model</w:t>
      </w:r>
      <w:r w:rsidRPr="0099279C">
        <w:rPr>
          <w:rFonts w:cs="Times New Roman"/>
          <w:sz w:val="24"/>
          <w:szCs w:val="24"/>
          <w:lang w:val="en-US"/>
        </w:rPr>
        <w:t xml:space="preserve"> includes both the primary and secondary routes of dietary exposure. </w:t>
      </w:r>
      <w:r>
        <w:rPr>
          <w:rFonts w:cs="Times New Roman"/>
          <w:sz w:val="24"/>
          <w:szCs w:val="24"/>
          <w:lang w:val="en-US"/>
        </w:rPr>
        <w:t xml:space="preserve">The model </w:t>
      </w:r>
      <w:r w:rsidRPr="0099279C">
        <w:rPr>
          <w:rFonts w:cs="Times New Roman"/>
          <w:sz w:val="24"/>
          <w:szCs w:val="24"/>
          <w:lang w:val="en-US"/>
        </w:rPr>
        <w:t xml:space="preserve">estimates daily intake of </w:t>
      </w:r>
      <w:r>
        <w:rPr>
          <w:rFonts w:cs="Times New Roman"/>
          <w:sz w:val="24"/>
          <w:szCs w:val="24"/>
          <w:lang w:val="en-US"/>
        </w:rPr>
        <w:t>rodenticide</w:t>
      </w:r>
      <w:r w:rsidRPr="0099279C">
        <w:rPr>
          <w:rFonts w:cs="Times New Roman"/>
          <w:sz w:val="24"/>
          <w:szCs w:val="24"/>
          <w:lang w:val="en-US"/>
        </w:rPr>
        <w:t xml:space="preserve"> from ingestion of pellets and mice for each of 90 days following initial application</w:t>
      </w:r>
      <w:r>
        <w:rPr>
          <w:rFonts w:cs="Times New Roman"/>
          <w:sz w:val="24"/>
          <w:szCs w:val="24"/>
          <w:lang w:val="en-US"/>
        </w:rPr>
        <w:t xml:space="preserve">. The whole body tissue concentration in gulls on any given day is the total daily intake for that day plus the tissue concentration remaining from the previous day. </w:t>
      </w:r>
      <w:r w:rsidRPr="0099279C">
        <w:rPr>
          <w:rFonts w:cs="Times New Roman"/>
          <w:sz w:val="24"/>
          <w:szCs w:val="24"/>
          <w:lang w:val="en-US"/>
        </w:rPr>
        <w:t xml:space="preserve">The model runs for a total of 90 days to account for the possibility of two </w:t>
      </w:r>
      <w:r>
        <w:rPr>
          <w:rFonts w:cs="Times New Roman"/>
          <w:sz w:val="24"/>
          <w:szCs w:val="24"/>
          <w:lang w:val="en-US"/>
        </w:rPr>
        <w:t xml:space="preserve">or three </w:t>
      </w:r>
      <w:r w:rsidRPr="0099279C">
        <w:rPr>
          <w:rFonts w:cs="Times New Roman"/>
          <w:sz w:val="24"/>
          <w:szCs w:val="24"/>
          <w:lang w:val="en-US"/>
        </w:rPr>
        <w:t xml:space="preserve">applications </w:t>
      </w:r>
      <w:r w:rsidR="00CF2682">
        <w:rPr>
          <w:rFonts w:cs="Times New Roman"/>
          <w:sz w:val="24"/>
          <w:szCs w:val="24"/>
          <w:lang w:val="en-US"/>
        </w:rPr>
        <w:t xml:space="preserve">depending on the toxicant </w:t>
      </w:r>
      <w:r w:rsidRPr="0099279C">
        <w:rPr>
          <w:rFonts w:cs="Times New Roman"/>
          <w:sz w:val="24"/>
          <w:szCs w:val="24"/>
          <w:lang w:val="en-US"/>
        </w:rPr>
        <w:t xml:space="preserve">with an interval of up to </w:t>
      </w:r>
      <w:r>
        <w:rPr>
          <w:rFonts w:cs="Times New Roman"/>
          <w:sz w:val="24"/>
          <w:szCs w:val="24"/>
          <w:lang w:val="en-US"/>
        </w:rPr>
        <w:t>several weeks</w:t>
      </w:r>
      <w:r w:rsidRPr="0099279C">
        <w:rPr>
          <w:rFonts w:cs="Times New Roman"/>
          <w:sz w:val="24"/>
          <w:szCs w:val="24"/>
          <w:lang w:val="en-US"/>
        </w:rPr>
        <w:t xml:space="preserve"> apart. The second </w:t>
      </w:r>
      <w:r>
        <w:rPr>
          <w:rFonts w:cs="Times New Roman"/>
          <w:sz w:val="24"/>
          <w:szCs w:val="24"/>
          <w:lang w:val="en-US"/>
        </w:rPr>
        <w:t xml:space="preserve">and third </w:t>
      </w:r>
      <w:r w:rsidRPr="0099279C">
        <w:rPr>
          <w:rFonts w:cs="Times New Roman"/>
          <w:sz w:val="24"/>
          <w:szCs w:val="24"/>
          <w:lang w:val="en-US"/>
        </w:rPr>
        <w:t>application</w:t>
      </w:r>
      <w:r>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However, by 90 days, </w:t>
      </w:r>
      <w:r w:rsidR="00364A85">
        <w:rPr>
          <w:rFonts w:cs="Times New Roman"/>
          <w:sz w:val="24"/>
          <w:szCs w:val="24"/>
          <w:lang w:val="en-US"/>
        </w:rPr>
        <w:t>a</w:t>
      </w:r>
      <w:r w:rsidR="00364A85" w:rsidRPr="0099279C">
        <w:rPr>
          <w:rFonts w:cs="Times New Roman"/>
          <w:sz w:val="24"/>
          <w:szCs w:val="24"/>
          <w:lang w:val="en-US"/>
        </w:rPr>
        <w:t xml:space="preserve"> </w:t>
      </w:r>
      <w:r w:rsidRPr="0099279C">
        <w:rPr>
          <w:rFonts w:cs="Times New Roman"/>
          <w:sz w:val="24"/>
          <w:szCs w:val="24"/>
          <w:lang w:val="en-US"/>
        </w:rPr>
        <w:t xml:space="preserve">combination of </w:t>
      </w:r>
      <w:r>
        <w:rPr>
          <w:rFonts w:cs="Times New Roman"/>
          <w:sz w:val="24"/>
          <w:szCs w:val="24"/>
          <w:lang w:val="en-US"/>
        </w:rPr>
        <w:t>weathering</w:t>
      </w:r>
      <w:r w:rsidRPr="0099279C">
        <w:rPr>
          <w:rFonts w:cs="Times New Roman"/>
          <w:sz w:val="24"/>
          <w:szCs w:val="24"/>
          <w:lang w:val="en-US"/>
        </w:rPr>
        <w:t xml:space="preserve"> and consumption by gulls should have removed all or very nearly all </w:t>
      </w:r>
      <w:r>
        <w:rPr>
          <w:rFonts w:cs="Times New Roman"/>
          <w:sz w:val="24"/>
          <w:szCs w:val="24"/>
          <w:lang w:val="en-US"/>
        </w:rPr>
        <w:t>rodenticide</w:t>
      </w:r>
      <w:r w:rsidRPr="0099279C">
        <w:rPr>
          <w:rFonts w:cs="Times New Roman"/>
          <w:sz w:val="24"/>
          <w:szCs w:val="24"/>
          <w:lang w:val="en-US"/>
        </w:rPr>
        <w:t xml:space="preserve"> pellets from the environment. </w:t>
      </w:r>
      <w:r>
        <w:rPr>
          <w:rFonts w:cs="Times New Roman"/>
          <w:sz w:val="24"/>
          <w:szCs w:val="24"/>
          <w:lang w:val="en-US"/>
        </w:rPr>
        <w:t xml:space="preserve">The exposure metric chosen by the model for comparison to the effects metric is the </w:t>
      </w:r>
      <w:r w:rsidRPr="006E39FD">
        <w:rPr>
          <w:rFonts w:cs="Times New Roman"/>
          <w:sz w:val="24"/>
          <w:szCs w:val="24"/>
          <w:lang w:val="en-US"/>
        </w:rPr>
        <w:t>maximum tissue concentration in gulls</w:t>
      </w:r>
      <w:r>
        <w:rPr>
          <w:rFonts w:cs="Times New Roman"/>
          <w:sz w:val="24"/>
          <w:szCs w:val="24"/>
          <w:lang w:val="en-US"/>
        </w:rPr>
        <w:t xml:space="preserve"> during the 90-day simulation</w:t>
      </w:r>
      <w:r w:rsidRPr="0099279C">
        <w:rPr>
          <w:rFonts w:cs="Times New Roman"/>
          <w:sz w:val="24"/>
          <w:szCs w:val="24"/>
          <w:lang w:val="en-US"/>
        </w:rPr>
        <w:t xml:space="preserve">. </w:t>
      </w:r>
    </w:p>
    <w:p w:rsidR="006E39FD" w:rsidRDefault="006E39FD" w:rsidP="006E39FD">
      <w:pPr>
        <w:rPr>
          <w:rFonts w:cs="Times New Roman"/>
          <w:sz w:val="24"/>
          <w:szCs w:val="24"/>
          <w:lang w:val="en-US"/>
        </w:rPr>
      </w:pPr>
      <w:r>
        <w:rPr>
          <w:rFonts w:cs="Times New Roman"/>
          <w:sz w:val="24"/>
          <w:szCs w:val="24"/>
          <w:lang w:val="en-US"/>
        </w:rPr>
        <w:t>The western gull risk model determined the fate (i.e., alive or dead) of 11,000 gulls</w:t>
      </w:r>
      <w:r w:rsidR="00192F56">
        <w:rPr>
          <w:rFonts w:cs="Times New Roman"/>
          <w:sz w:val="24"/>
          <w:szCs w:val="24"/>
          <w:lang w:val="en-US"/>
        </w:rPr>
        <w:t>,</w:t>
      </w:r>
      <w:r>
        <w:rPr>
          <w:rFonts w:cs="Times New Roman"/>
          <w:sz w:val="24"/>
          <w:szCs w:val="24"/>
          <w:lang w:val="en-US"/>
        </w:rPr>
        <w:t xml:space="preserve"> which is the peak number of gulls expected on </w:t>
      </w:r>
      <w:r w:rsidR="00364A85">
        <w:rPr>
          <w:rFonts w:cs="Times New Roman"/>
          <w:sz w:val="24"/>
          <w:szCs w:val="24"/>
          <w:lang w:val="en-US"/>
        </w:rPr>
        <w:t xml:space="preserve">the </w:t>
      </w:r>
      <w:r w:rsidR="00BE7C91">
        <w:rPr>
          <w:rFonts w:cs="Times New Roman"/>
          <w:sz w:val="24"/>
          <w:szCs w:val="24"/>
          <w:lang w:val="en-US"/>
        </w:rPr>
        <w:t>S</w:t>
      </w:r>
      <w:r w:rsidR="00364A85">
        <w:rPr>
          <w:rFonts w:cs="Times New Roman"/>
          <w:sz w:val="24"/>
          <w:szCs w:val="24"/>
          <w:lang w:val="en-US"/>
        </w:rPr>
        <w:t xml:space="preserve">outh </w:t>
      </w:r>
      <w:r w:rsidR="00BE7C91">
        <w:rPr>
          <w:rFonts w:cs="Times New Roman"/>
          <w:sz w:val="24"/>
          <w:szCs w:val="24"/>
          <w:lang w:val="en-US"/>
        </w:rPr>
        <w:t>FI</w:t>
      </w:r>
      <w:r>
        <w:rPr>
          <w:rFonts w:cs="Times New Roman"/>
          <w:sz w:val="24"/>
          <w:szCs w:val="24"/>
          <w:lang w:val="en-US"/>
        </w:rPr>
        <w:t xml:space="preserve"> during the November to March timeframe.</w:t>
      </w:r>
      <w:r w:rsidRPr="0099279C">
        <w:rPr>
          <w:rFonts w:cs="Times New Roman"/>
          <w:sz w:val="24"/>
          <w:szCs w:val="24"/>
          <w:lang w:val="en-US"/>
        </w:rPr>
        <w:t xml:space="preserve"> </w:t>
      </w:r>
      <w:r>
        <w:rPr>
          <w:rFonts w:cs="Times New Roman"/>
          <w:sz w:val="24"/>
          <w:szCs w:val="24"/>
          <w:lang w:val="en-US"/>
        </w:rPr>
        <w:t>E</w:t>
      </w:r>
      <w:r w:rsidRPr="0099279C">
        <w:rPr>
          <w:rFonts w:cs="Times New Roman"/>
          <w:sz w:val="24"/>
          <w:szCs w:val="24"/>
          <w:lang w:val="en-US"/>
        </w:rPr>
        <w:t xml:space="preserve">ach </w:t>
      </w:r>
      <w:r>
        <w:rPr>
          <w:rFonts w:cs="Times New Roman"/>
          <w:sz w:val="24"/>
          <w:szCs w:val="24"/>
          <w:lang w:val="en-US"/>
        </w:rPr>
        <w:t>simul</w:t>
      </w:r>
      <w:r w:rsidRPr="0099279C">
        <w:rPr>
          <w:rFonts w:cs="Times New Roman"/>
          <w:sz w:val="24"/>
          <w:szCs w:val="24"/>
          <w:lang w:val="en-US"/>
        </w:rPr>
        <w:t xml:space="preserve">ation of the model determines the fate of a western gull. </w:t>
      </w:r>
      <w:r>
        <w:rPr>
          <w:rFonts w:cs="Times New Roman"/>
          <w:sz w:val="24"/>
          <w:szCs w:val="24"/>
          <w:lang w:val="en-US"/>
        </w:rPr>
        <w:t xml:space="preserve">At the outset of a simulation, the characteristics of the gull are randomly chosen (i.e., sex, body weight, life stage). At the same time, the model determines whether the gull will be present on </w:t>
      </w:r>
      <w:r w:rsidR="00BE7C91">
        <w:rPr>
          <w:rFonts w:cs="Times New Roman"/>
          <w:sz w:val="24"/>
          <w:szCs w:val="24"/>
          <w:lang w:val="en-US"/>
        </w:rPr>
        <w:t>SFI</w:t>
      </w:r>
      <w:r>
        <w:rPr>
          <w:rFonts w:cs="Times New Roman"/>
          <w:sz w:val="24"/>
          <w:szCs w:val="24"/>
          <w:lang w:val="en-US"/>
        </w:rPr>
        <w:t xml:space="preserve"> to forage on pellets and/or mice.</w:t>
      </w:r>
      <w:r w:rsidR="008A7ACB">
        <w:rPr>
          <w:rFonts w:cs="Times New Roman"/>
          <w:sz w:val="24"/>
          <w:szCs w:val="24"/>
          <w:lang w:val="en-US"/>
        </w:rPr>
        <w:t xml:space="preserve"> As a mitigation measure</w:t>
      </w:r>
      <w:r w:rsidR="00096F1D">
        <w:rPr>
          <w:rFonts w:cs="Times New Roman"/>
          <w:sz w:val="24"/>
          <w:szCs w:val="24"/>
          <w:lang w:val="en-US"/>
        </w:rPr>
        <w:t>,</w:t>
      </w:r>
      <w:r w:rsidR="008A7ACB">
        <w:rPr>
          <w:rFonts w:cs="Times New Roman"/>
          <w:sz w:val="24"/>
          <w:szCs w:val="24"/>
          <w:lang w:val="en-US"/>
        </w:rPr>
        <w:t xml:space="preserve"> gull hazing </w:t>
      </w:r>
      <w:r w:rsidR="00BE7C91">
        <w:rPr>
          <w:rFonts w:cs="Times New Roman"/>
          <w:sz w:val="24"/>
          <w:szCs w:val="24"/>
          <w:lang w:val="en-US"/>
        </w:rPr>
        <w:t>would be implemented as part of the rat eradication</w:t>
      </w:r>
      <w:r w:rsidR="008A7ACB">
        <w:rPr>
          <w:rFonts w:cs="Times New Roman"/>
          <w:sz w:val="24"/>
          <w:szCs w:val="24"/>
          <w:lang w:val="en-US"/>
        </w:rPr>
        <w:t xml:space="preserve"> to reduce the number of gulls </w:t>
      </w:r>
      <w:r w:rsidR="00BE7C91">
        <w:rPr>
          <w:rFonts w:cs="Times New Roman"/>
          <w:sz w:val="24"/>
          <w:szCs w:val="24"/>
          <w:lang w:val="en-US"/>
        </w:rPr>
        <w:t>on SFI immediately following bait application</w:t>
      </w:r>
      <w:r w:rsidR="008A7ACB">
        <w:rPr>
          <w:rFonts w:cs="Times New Roman"/>
          <w:sz w:val="24"/>
          <w:szCs w:val="24"/>
          <w:lang w:val="en-US"/>
        </w:rPr>
        <w:t>.</w:t>
      </w:r>
      <w:r>
        <w:rPr>
          <w:rFonts w:cs="Times New Roman"/>
          <w:sz w:val="24"/>
          <w:szCs w:val="24"/>
          <w:lang w:val="en-US"/>
        </w:rPr>
        <w:t xml:space="preserve"> T</w:t>
      </w:r>
      <w:r w:rsidR="00BE7C91">
        <w:rPr>
          <w:rFonts w:cs="Times New Roman"/>
          <w:sz w:val="24"/>
          <w:szCs w:val="24"/>
          <w:lang w:val="en-US"/>
        </w:rPr>
        <w:t>hus, t</w:t>
      </w:r>
      <w:r>
        <w:rPr>
          <w:rFonts w:cs="Times New Roman"/>
          <w:sz w:val="24"/>
          <w:szCs w:val="24"/>
          <w:lang w:val="en-US"/>
        </w:rPr>
        <w:t xml:space="preserve">he probability of a gull being present is equal to the user selected value for expected hazing success. Gulls that are not responsive to repeated hazing will be present each day to forage on </w:t>
      </w:r>
      <w:r w:rsidR="00BE7C91">
        <w:rPr>
          <w:rFonts w:cs="Times New Roman"/>
          <w:sz w:val="24"/>
          <w:szCs w:val="24"/>
          <w:lang w:val="en-US"/>
        </w:rPr>
        <w:t>SFI</w:t>
      </w:r>
      <w:r>
        <w:rPr>
          <w:rFonts w:cs="Times New Roman"/>
          <w:sz w:val="24"/>
          <w:szCs w:val="24"/>
          <w:lang w:val="en-US"/>
        </w:rPr>
        <w:t>.</w:t>
      </w:r>
    </w:p>
    <w:p w:rsidR="006E39FD" w:rsidRDefault="006E39FD" w:rsidP="006E39FD">
      <w:pPr>
        <w:rPr>
          <w:rFonts w:cs="Times New Roman"/>
          <w:sz w:val="24"/>
          <w:szCs w:val="24"/>
          <w:lang w:val="en-US"/>
        </w:rPr>
      </w:pPr>
      <w:r>
        <w:rPr>
          <w:rFonts w:cs="Times New Roman"/>
          <w:sz w:val="24"/>
          <w:szCs w:val="24"/>
          <w:lang w:val="en-US"/>
        </w:rPr>
        <w:t xml:space="preserve">Most gulls will not be present on </w:t>
      </w:r>
      <w:r w:rsidR="00BE7C91">
        <w:rPr>
          <w:rFonts w:cs="Times New Roman"/>
          <w:sz w:val="24"/>
          <w:szCs w:val="24"/>
          <w:lang w:val="en-US"/>
        </w:rPr>
        <w:t>SFI</w:t>
      </w:r>
      <w:r>
        <w:rPr>
          <w:rFonts w:cs="Times New Roman"/>
          <w:sz w:val="24"/>
          <w:szCs w:val="24"/>
          <w:lang w:val="en-US"/>
        </w:rPr>
        <w:t xml:space="preserve"> if initial application occurs in early to mid</w:t>
      </w:r>
      <w:r w:rsidR="00E37922">
        <w:rPr>
          <w:rFonts w:cs="Times New Roman"/>
          <w:sz w:val="24"/>
          <w:szCs w:val="24"/>
          <w:lang w:val="en-US"/>
        </w:rPr>
        <w:t>-</w:t>
      </w:r>
      <w:r>
        <w:rPr>
          <w:rFonts w:cs="Times New Roman"/>
          <w:sz w:val="24"/>
          <w:szCs w:val="24"/>
          <w:lang w:val="en-US"/>
        </w:rPr>
        <w:t xml:space="preserve">November. Thus, for each gull, a starting date for its appearance on the island is determined by the model. Once a gull appears on </w:t>
      </w:r>
      <w:r w:rsidR="00BE7C91">
        <w:rPr>
          <w:rFonts w:cs="Times New Roman"/>
          <w:sz w:val="24"/>
          <w:szCs w:val="24"/>
          <w:lang w:val="en-US"/>
        </w:rPr>
        <w:t>SFI</w:t>
      </w:r>
      <w:r>
        <w:rPr>
          <w:rFonts w:cs="Times New Roman"/>
          <w:sz w:val="24"/>
          <w:szCs w:val="24"/>
          <w:lang w:val="en-US"/>
        </w:rPr>
        <w:t>, it remains in the area until at least mid</w:t>
      </w:r>
      <w:r w:rsidR="00E37922">
        <w:rPr>
          <w:rFonts w:cs="Times New Roman"/>
          <w:sz w:val="24"/>
          <w:szCs w:val="24"/>
          <w:lang w:val="en-US"/>
        </w:rPr>
        <w:t>-</w:t>
      </w:r>
      <w:r>
        <w:rPr>
          <w:rFonts w:cs="Times New Roman"/>
          <w:sz w:val="24"/>
          <w:szCs w:val="24"/>
          <w:lang w:val="en-US"/>
        </w:rPr>
        <w:t xml:space="preserve">February though only unhazed gulls are assumed to forage on the island. </w:t>
      </w:r>
    </w:p>
    <w:p w:rsidR="006E39FD" w:rsidRDefault="006E39FD" w:rsidP="006E39FD">
      <w:pPr>
        <w:rPr>
          <w:rFonts w:cs="Times New Roman"/>
          <w:sz w:val="24"/>
          <w:szCs w:val="24"/>
          <w:lang w:val="en-US"/>
        </w:rPr>
      </w:pPr>
      <w:r>
        <w:rPr>
          <w:rFonts w:cs="Times New Roman"/>
          <w:sz w:val="24"/>
          <w:szCs w:val="24"/>
          <w:lang w:val="en-US"/>
        </w:rPr>
        <w:t xml:space="preserve">Availability of rodenticide pellets at any given time step is a function of initial availability (i.e., initial application rate) and the rate at which pellets disappear from the environment (e.g., due to consumption by mice, weathering). Subsequent rodenticide applications increase availability of pellets. The probabilities of an unhazed gull consuming pellets and mice over time were calculated using observational data from </w:t>
      </w:r>
      <w:r w:rsidR="00BE7C91">
        <w:rPr>
          <w:rFonts w:cs="Times New Roman"/>
          <w:sz w:val="24"/>
          <w:szCs w:val="24"/>
          <w:lang w:val="en-US"/>
        </w:rPr>
        <w:t>SFI</w:t>
      </w:r>
      <w:r>
        <w:rPr>
          <w:rFonts w:cs="Times New Roman"/>
          <w:sz w:val="24"/>
          <w:szCs w:val="24"/>
          <w:lang w:val="en-US"/>
        </w:rPr>
        <w:t xml:space="preserve"> in 2010. If by random chance pellets and/or mice are consumed at a time step, then the numbers of pellets and/or mice consumed are determined by the model based on the energetic requirements of western gulls and availability of pellets and mice on the island. Primary exposure for each time step is a function of the number of pellets consumed multiplied by rodenticide concentration in each pellet. A similar approach is used for secondary exposure.</w:t>
      </w:r>
    </w:p>
    <w:p w:rsidR="006E39FD" w:rsidRDefault="006E39FD" w:rsidP="006E39FD">
      <w:pPr>
        <w:rPr>
          <w:rFonts w:cs="Times New Roman"/>
          <w:sz w:val="24"/>
          <w:szCs w:val="24"/>
          <w:lang w:val="en-US"/>
        </w:rPr>
      </w:pPr>
      <w:r>
        <w:rPr>
          <w:rFonts w:cs="Times New Roman"/>
          <w:sz w:val="24"/>
          <w:szCs w:val="24"/>
          <w:lang w:val="en-US"/>
        </w:rPr>
        <w:t>The availabilities of pellets and mice change over time in the western gull risk model. Subsequent time steps account for the relative availabilities of pellets and mice by assuming that consumption rates are linearly related to availabilities (i.e., gulls do not increase or decrease their search efforts in response to declining availabilities of pellets and mice). In the case of pellets, availability declines rapidly after the initial rodenticide application because of consumption by mice, gulls and weathering if a significant rainfall event occurs shortly after application. For subsequent applications, however, pellet availability remains constant until a significant rainfall event occurs which causes the pellets to break down over the next couple of days. In the case of mice, availability declines rapidly from the time they experience symptoms to their death several days to less than two weeks later. After that, mice are not part of the gull diet and thus there is no further secondary exposure.</w:t>
      </w:r>
    </w:p>
    <w:p w:rsidR="006E39FD" w:rsidRDefault="006E39FD" w:rsidP="006E39FD">
      <w:pPr>
        <w:rPr>
          <w:rFonts w:cs="Times New Roman"/>
          <w:sz w:val="24"/>
          <w:szCs w:val="24"/>
          <w:lang w:val="en-US"/>
        </w:rPr>
      </w:pPr>
      <w:r>
        <w:rPr>
          <w:rFonts w:cs="Times New Roman"/>
          <w:sz w:val="24"/>
          <w:szCs w:val="24"/>
          <w:lang w:val="en-US"/>
        </w:rPr>
        <w:t xml:space="preserve">Gulls learn over time and thus the model assumes </w:t>
      </w:r>
      <w:r w:rsidR="00076970">
        <w:rPr>
          <w:rFonts w:cs="Times New Roman"/>
          <w:sz w:val="24"/>
          <w:szCs w:val="24"/>
          <w:lang w:val="en-US"/>
        </w:rPr>
        <w:t xml:space="preserve">conditional </w:t>
      </w:r>
      <w:r w:rsidR="00942359">
        <w:rPr>
          <w:rFonts w:cs="Times New Roman"/>
          <w:sz w:val="24"/>
          <w:szCs w:val="24"/>
          <w:lang w:val="en-US"/>
        </w:rPr>
        <w:t xml:space="preserve">probabilities </w:t>
      </w:r>
      <w:r>
        <w:rPr>
          <w:rFonts w:cs="Times New Roman"/>
          <w:sz w:val="24"/>
          <w:szCs w:val="24"/>
          <w:lang w:val="en-US"/>
        </w:rPr>
        <w:t>for primary and secondary exposure. That is, if a gull consumes pellets by random chance in the preceding time step, then there is an increased probability of consuming pellets in the subsequent time step</w:t>
      </w:r>
      <w:r w:rsidR="00942359">
        <w:rPr>
          <w:rFonts w:cs="Times New Roman"/>
          <w:sz w:val="24"/>
          <w:szCs w:val="24"/>
          <w:lang w:val="en-US"/>
        </w:rPr>
        <w:t>. Conversely, if a gull does not consume pellets in the preceding time step, then there is a reduced probability of consuming pellets in the subsequent time step</w:t>
      </w:r>
      <w:r>
        <w:rPr>
          <w:rFonts w:cs="Times New Roman"/>
          <w:sz w:val="24"/>
          <w:szCs w:val="24"/>
          <w:lang w:val="en-US"/>
        </w:rPr>
        <w:t xml:space="preserve">. The same </w:t>
      </w:r>
      <w:r w:rsidR="00942359">
        <w:rPr>
          <w:rFonts w:cs="Times New Roman"/>
          <w:sz w:val="24"/>
          <w:szCs w:val="24"/>
          <w:lang w:val="en-US"/>
        </w:rPr>
        <w:t>logic is used for gulls consuming</w:t>
      </w:r>
      <w:r>
        <w:rPr>
          <w:rFonts w:cs="Times New Roman"/>
          <w:sz w:val="24"/>
          <w:szCs w:val="24"/>
          <w:lang w:val="en-US"/>
        </w:rPr>
        <w:t xml:space="preserve"> mice. </w:t>
      </w:r>
    </w:p>
    <w:p w:rsidR="006E39FD" w:rsidRDefault="006E39FD" w:rsidP="006E39FD">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6E39FD" w:rsidRDefault="006E39FD" w:rsidP="006E39FD">
      <w:pPr>
        <w:rPr>
          <w:rFonts w:cs="Times New Roman"/>
          <w:sz w:val="24"/>
          <w:szCs w:val="24"/>
          <w:lang w:val="en-US"/>
        </w:rPr>
      </w:pPr>
      <w:r w:rsidRPr="0099279C">
        <w:rPr>
          <w:rFonts w:cs="Times New Roman"/>
          <w:sz w:val="24"/>
          <w:szCs w:val="24"/>
          <w:lang w:val="en-US"/>
        </w:rPr>
        <w:t xml:space="preserve">The </w:t>
      </w:r>
      <w:r>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r>
        <w:rPr>
          <w:rFonts w:cs="Times New Roman"/>
          <w:sz w:val="24"/>
          <w:szCs w:val="24"/>
          <w:lang w:val="en-US"/>
        </w:rPr>
        <w:t xml:space="preserve">gavage </w:t>
      </w:r>
      <w:r w:rsidRPr="0099279C">
        <w:rPr>
          <w:rFonts w:cs="Times New Roman"/>
          <w:sz w:val="24"/>
          <w:szCs w:val="24"/>
          <w:lang w:val="en-US"/>
        </w:rPr>
        <w:t xml:space="preserve">dose </w:t>
      </w:r>
      <w:bookmarkStart w:id="1" w:name="_GoBack"/>
      <w:bookmarkEnd w:id="1"/>
      <w:r>
        <w:rPr>
          <w:rFonts w:cs="Times New Roman"/>
          <w:sz w:val="24"/>
          <w:szCs w:val="24"/>
          <w:lang w:val="en-US"/>
        </w:rPr>
        <w:t>(in units of mg a</w:t>
      </w:r>
      <w:r w:rsidR="00B04D56">
        <w:rPr>
          <w:rFonts w:cs="Times New Roman"/>
          <w:sz w:val="24"/>
          <w:szCs w:val="24"/>
          <w:lang w:val="en-US"/>
        </w:rPr>
        <w:t>ctive ingredient</w:t>
      </w:r>
      <w:r>
        <w:rPr>
          <w:rFonts w:cs="Times New Roman"/>
          <w:sz w:val="24"/>
          <w:szCs w:val="24"/>
          <w:lang w:val="en-US"/>
        </w:rPr>
        <w:t>/kg b</w:t>
      </w:r>
      <w:r w:rsidR="00B04D56">
        <w:rPr>
          <w:rFonts w:cs="Times New Roman"/>
          <w:sz w:val="24"/>
          <w:szCs w:val="24"/>
          <w:lang w:val="en-US"/>
        </w:rPr>
        <w:t>ody weight</w:t>
      </w:r>
      <w:r>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Pr>
          <w:rFonts w:cs="Times New Roman"/>
          <w:sz w:val="24"/>
          <w:szCs w:val="24"/>
          <w:lang w:val="en-US"/>
        </w:rPr>
        <w:t xml:space="preserve">a </w:t>
      </w:r>
      <w:r w:rsidRPr="0099279C">
        <w:rPr>
          <w:rFonts w:cs="Times New Roman"/>
          <w:sz w:val="24"/>
          <w:szCs w:val="24"/>
          <w:lang w:val="en-US"/>
        </w:rPr>
        <w:t xml:space="preserve">gull </w:t>
      </w:r>
      <w:r>
        <w:rPr>
          <w:rFonts w:cs="Times New Roman"/>
          <w:sz w:val="24"/>
          <w:szCs w:val="24"/>
          <w:lang w:val="en-US"/>
        </w:rPr>
        <w:t xml:space="preserve">or surrogate </w:t>
      </w:r>
      <w:r w:rsidRPr="0099279C">
        <w:rPr>
          <w:rFonts w:cs="Times New Roman"/>
          <w:sz w:val="24"/>
          <w:szCs w:val="24"/>
          <w:lang w:val="en-US"/>
        </w:rPr>
        <w:t xml:space="preserve">species. If the exposure dose for </w:t>
      </w:r>
      <w:r>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r>
        <w:rPr>
          <w:rFonts w:cs="Times New Roman"/>
          <w:sz w:val="24"/>
          <w:szCs w:val="24"/>
          <w:lang w:val="en-US"/>
        </w:rPr>
        <w:t>rodenticide</w:t>
      </w:r>
      <w:r w:rsidRPr="0099279C">
        <w:rPr>
          <w:rFonts w:cs="Times New Roman"/>
          <w:sz w:val="24"/>
          <w:szCs w:val="24"/>
          <w:lang w:val="en-US"/>
        </w:rPr>
        <w:t xml:space="preserve"> applications. </w:t>
      </w:r>
      <w:r>
        <w:rPr>
          <w:rFonts w:cs="Times New Roman"/>
          <w:sz w:val="24"/>
          <w:szCs w:val="24"/>
          <w:lang w:val="en-US"/>
        </w:rPr>
        <w:t>The model then proceeds to simulate the next gull. The process repeats for the number of model simulations selected by the user.</w:t>
      </w:r>
      <w:r w:rsidR="004A48EA">
        <w:rPr>
          <w:rFonts w:cs="Times New Roman"/>
          <w:sz w:val="24"/>
          <w:szCs w:val="24"/>
          <w:lang w:val="en-US"/>
        </w:rPr>
        <w:t xml:space="preserve"> The net result over many simulations is that the entire dose-response curve is sampled thus capturing the expected range of sensitivities in the gull population at SFI. Thus, the analysis is not biased conservative</w:t>
      </w:r>
      <w:r w:rsidR="00457406">
        <w:rPr>
          <w:rFonts w:cs="Times New Roman"/>
          <w:sz w:val="24"/>
          <w:szCs w:val="24"/>
          <w:lang w:val="en-US"/>
        </w:rPr>
        <w:t>,</w:t>
      </w:r>
      <w:r w:rsidR="004A48EA">
        <w:rPr>
          <w:rFonts w:cs="Times New Roman"/>
          <w:sz w:val="24"/>
          <w:szCs w:val="24"/>
          <w:lang w:val="en-US"/>
        </w:rPr>
        <w:t xml:space="preserve"> as would be the case with selecting a no observed effect level or low percentile on the dose-response curve (e.g., LD5)</w:t>
      </w:r>
      <w:r w:rsidR="00457406">
        <w:rPr>
          <w:rFonts w:cs="Times New Roman"/>
          <w:sz w:val="24"/>
          <w:szCs w:val="24"/>
          <w:lang w:val="en-US"/>
        </w:rPr>
        <w:t>, nor are potential effects to sensitive birds missed, as would be the case with relying on the LD50</w:t>
      </w:r>
      <w:r w:rsidR="004A48EA">
        <w:rPr>
          <w:rFonts w:cs="Times New Roman"/>
          <w:sz w:val="24"/>
          <w:szCs w:val="24"/>
          <w:lang w:val="en-US"/>
        </w:rPr>
        <w:t>.</w:t>
      </w:r>
    </w:p>
    <w:p w:rsidR="006E39FD" w:rsidRDefault="006E39FD" w:rsidP="006E39FD">
      <w:pPr>
        <w:rPr>
          <w:sz w:val="24"/>
          <w:szCs w:val="24"/>
          <w:lang w:val="en-US"/>
        </w:rPr>
      </w:pPr>
      <w:r w:rsidRPr="0065013D">
        <w:rPr>
          <w:sz w:val="24"/>
          <w:szCs w:val="24"/>
          <w:lang w:val="en-US"/>
        </w:rPr>
        <w:t>Model runs were conducted to determine how different application options (e.g., different application dates, differing rates of hazing success, etc</w:t>
      </w:r>
      <w:r w:rsidR="00FF3F43">
        <w:rPr>
          <w:sz w:val="24"/>
          <w:szCs w:val="24"/>
          <w:lang w:val="en-US"/>
        </w:rPr>
        <w:t>.</w:t>
      </w:r>
      <w:r w:rsidRPr="0065013D">
        <w:rPr>
          <w:sz w:val="24"/>
          <w:szCs w:val="24"/>
          <w:lang w:val="en-US"/>
        </w:rPr>
        <w:t xml:space="preserve">) for brodifacoum and diphacinone affected predictions regarding mortality of western gulls. </w:t>
      </w:r>
      <w:r>
        <w:rPr>
          <w:sz w:val="24"/>
          <w:szCs w:val="24"/>
          <w:lang w:val="en-US"/>
        </w:rPr>
        <w:t>An analysis conducted by Nur et al. (</w:t>
      </w:r>
      <w:r w:rsidR="00FF3F43">
        <w:rPr>
          <w:sz w:val="24"/>
          <w:szCs w:val="24"/>
          <w:lang w:val="en-US"/>
        </w:rPr>
        <w:t>2012</w:t>
      </w:r>
      <w:r>
        <w:rPr>
          <w:sz w:val="24"/>
          <w:szCs w:val="24"/>
          <w:lang w:val="en-US"/>
        </w:rPr>
        <w:t xml:space="preserve">) for western gulls on </w:t>
      </w:r>
      <w:r w:rsidR="00BE7C91">
        <w:rPr>
          <w:sz w:val="24"/>
          <w:szCs w:val="24"/>
          <w:lang w:val="en-US"/>
        </w:rPr>
        <w:t>SFI</w:t>
      </w:r>
      <w:r>
        <w:rPr>
          <w:sz w:val="24"/>
          <w:szCs w:val="24"/>
          <w:lang w:val="en-US"/>
        </w:rPr>
        <w:t xml:space="preserve"> indicated that a one-time mortality event of 1700 individual gulls would not result in a detectably significant change in the population trend of the western gull on the Farallones over a 20-year period. We compared our model predictions to this benchmark. </w:t>
      </w:r>
    </w:p>
    <w:p w:rsidR="006E39FD" w:rsidRPr="006E39FD" w:rsidRDefault="00FF3F43" w:rsidP="006E39FD">
      <w:pPr>
        <w:rPr>
          <w:rFonts w:cs="Times New Roman"/>
          <w:sz w:val="24"/>
          <w:szCs w:val="24"/>
          <w:lang w:val="en-US"/>
        </w:rPr>
        <w:sectPr w:rsidR="006E39FD" w:rsidRPr="006E39FD" w:rsidSect="00224BBB">
          <w:footerReference w:type="default" r:id="rId17"/>
          <w:pgSz w:w="12240" w:h="15840"/>
          <w:pgMar w:top="1440" w:right="1440" w:bottom="1440" w:left="1440" w:header="708" w:footer="708" w:gutter="0"/>
          <w:cols w:space="708"/>
          <w:docGrid w:linePitch="360"/>
        </w:sectPr>
      </w:pPr>
      <w:r>
        <w:rPr>
          <w:rFonts w:cs="Times New Roman"/>
          <w:sz w:val="24"/>
          <w:szCs w:val="24"/>
          <w:lang w:val="en-US"/>
        </w:rPr>
        <w:t>I</w:t>
      </w:r>
      <w:r w:rsidR="006E39FD">
        <w:rPr>
          <w:rFonts w:cs="Times New Roman"/>
          <w:sz w:val="24"/>
          <w:szCs w:val="24"/>
          <w:lang w:val="en-US"/>
        </w:rPr>
        <w:t xml:space="preserve">t was clear from the modeling analyses that </w:t>
      </w:r>
      <w:r w:rsidR="00B04D56">
        <w:rPr>
          <w:rFonts w:cs="Times New Roman"/>
          <w:sz w:val="24"/>
          <w:szCs w:val="24"/>
          <w:lang w:val="en-US"/>
        </w:rPr>
        <w:t>brodifacoum</w:t>
      </w:r>
      <w:r w:rsidR="006E39FD">
        <w:rPr>
          <w:rFonts w:cs="Times New Roman"/>
          <w:sz w:val="24"/>
          <w:szCs w:val="24"/>
          <w:lang w:val="en-US"/>
        </w:rPr>
        <w:t xml:space="preserve"> poses a higher risk to non-target western gulls than does diphacinone. The modeling analyses further indicated that an early application date, high hazing success</w:t>
      </w:r>
      <w:r w:rsidR="00185D2D">
        <w:rPr>
          <w:rFonts w:cs="Times New Roman"/>
          <w:sz w:val="24"/>
          <w:szCs w:val="24"/>
          <w:lang w:val="en-US"/>
        </w:rPr>
        <w:t>,</w:t>
      </w:r>
      <w:r w:rsidR="006E39FD">
        <w:rPr>
          <w:rFonts w:cs="Times New Roman"/>
          <w:sz w:val="24"/>
          <w:szCs w:val="24"/>
          <w:lang w:val="en-US"/>
        </w:rPr>
        <w:t xml:space="preserve"> and an early rainfall event after the last application significantly reduce predicted gull mortality. </w:t>
      </w:r>
      <w:r w:rsidR="006E39FD">
        <w:rPr>
          <w:rFonts w:cs="Times New Roman"/>
          <w:sz w:val="24"/>
          <w:szCs w:val="24"/>
        </w:rPr>
        <w:t xml:space="preserve">Assuming an early initial application date (November 1) and hazing success of 90% or higher, neither rodenticide is likely to cause </w:t>
      </w:r>
      <w:r w:rsidR="000B0E72">
        <w:rPr>
          <w:rFonts w:cs="Times New Roman"/>
          <w:sz w:val="24"/>
          <w:szCs w:val="24"/>
        </w:rPr>
        <w:t xml:space="preserve">a population level impact as defined by a gull </w:t>
      </w:r>
      <w:r w:rsidR="000B48DD">
        <w:rPr>
          <w:rFonts w:cs="Times New Roman"/>
          <w:sz w:val="24"/>
          <w:szCs w:val="24"/>
        </w:rPr>
        <w:t>population viability analysis (</w:t>
      </w:r>
      <w:r w:rsidR="000B0E72">
        <w:rPr>
          <w:rFonts w:cs="Times New Roman"/>
          <w:sz w:val="24"/>
          <w:szCs w:val="24"/>
        </w:rPr>
        <w:t>PVA</w:t>
      </w:r>
      <w:r w:rsidR="000B48DD">
        <w:rPr>
          <w:rFonts w:cs="Times New Roman"/>
          <w:sz w:val="24"/>
          <w:szCs w:val="24"/>
        </w:rPr>
        <w:t>)</w:t>
      </w:r>
      <w:r w:rsidR="006E39FD">
        <w:rPr>
          <w:rFonts w:cs="Times New Roman"/>
          <w:sz w:val="24"/>
          <w:szCs w:val="24"/>
        </w:rPr>
        <w:t>.</w:t>
      </w:r>
      <w:r w:rsidR="006E39FD">
        <w:rPr>
          <w:rFonts w:cs="Times New Roman"/>
          <w:sz w:val="24"/>
          <w:szCs w:val="24"/>
          <w:lang w:val="en-US"/>
        </w:rPr>
        <w:t xml:space="preserve"> The modeling analyses also demonstrated that the primary route of exposure was, by far, the most important route of exposure for western gulls for both rodenticides. </w:t>
      </w:r>
      <w:r w:rsidR="000B0E72">
        <w:rPr>
          <w:rFonts w:cs="Times New Roman"/>
          <w:sz w:val="24"/>
          <w:szCs w:val="24"/>
          <w:lang w:val="en-US"/>
        </w:rPr>
        <w:t>Consequently</w:t>
      </w:r>
      <w:r w:rsidR="006E39FD">
        <w:rPr>
          <w:rFonts w:cs="Times New Roman"/>
          <w:sz w:val="24"/>
          <w:szCs w:val="24"/>
          <w:lang w:val="en-US"/>
        </w:rPr>
        <w:t>, t</w:t>
      </w:r>
      <w:r w:rsidR="006E39FD" w:rsidRPr="00C439A0">
        <w:rPr>
          <w:rFonts w:cs="Times New Roman"/>
          <w:sz w:val="24"/>
          <w:szCs w:val="24"/>
          <w:lang w:val="en-US"/>
        </w:rPr>
        <w:t xml:space="preserve">o </w:t>
      </w:r>
      <w:r w:rsidR="000B0E72">
        <w:rPr>
          <w:rFonts w:cs="Times New Roman"/>
          <w:sz w:val="24"/>
          <w:szCs w:val="24"/>
          <w:lang w:val="en-US"/>
        </w:rPr>
        <w:t xml:space="preserve">minimize </w:t>
      </w:r>
      <w:r w:rsidR="006E39FD" w:rsidRPr="00C439A0">
        <w:rPr>
          <w:rFonts w:cs="Times New Roman"/>
          <w:sz w:val="24"/>
          <w:szCs w:val="24"/>
          <w:lang w:val="en-US"/>
        </w:rPr>
        <w:t>gull mortalit</w:t>
      </w:r>
      <w:r w:rsidR="000B0E72">
        <w:rPr>
          <w:rFonts w:cs="Times New Roman"/>
          <w:sz w:val="24"/>
          <w:szCs w:val="24"/>
          <w:lang w:val="en-US"/>
        </w:rPr>
        <w:t>y</w:t>
      </w:r>
      <w:r w:rsidR="006E39FD">
        <w:rPr>
          <w:rFonts w:cs="Times New Roman"/>
          <w:sz w:val="24"/>
          <w:szCs w:val="24"/>
          <w:lang w:val="en-US"/>
        </w:rPr>
        <w:t>,</w:t>
      </w:r>
      <w:r w:rsidR="006E39FD" w:rsidRPr="00C439A0">
        <w:rPr>
          <w:rFonts w:cs="Times New Roman"/>
          <w:sz w:val="24"/>
          <w:szCs w:val="24"/>
          <w:lang w:val="en-US"/>
        </w:rPr>
        <w:t xml:space="preserve"> </w:t>
      </w:r>
      <w:r w:rsidR="000B0E72">
        <w:rPr>
          <w:rFonts w:cs="Times New Roman"/>
          <w:sz w:val="24"/>
          <w:szCs w:val="24"/>
          <w:lang w:val="en-US"/>
        </w:rPr>
        <w:t xml:space="preserve">it is recommended that </w:t>
      </w:r>
      <w:r w:rsidR="006E39FD" w:rsidRPr="00C439A0">
        <w:rPr>
          <w:rFonts w:cs="Times New Roman"/>
          <w:sz w:val="24"/>
          <w:szCs w:val="24"/>
          <w:lang w:val="en-US"/>
        </w:rPr>
        <w:t xml:space="preserve">an effective gull hazing program, an early start date, and other measures to reduce gull exposure to bait </w:t>
      </w:r>
      <w:r w:rsidR="000B0E72">
        <w:rPr>
          <w:rFonts w:cs="Times New Roman"/>
          <w:sz w:val="24"/>
          <w:szCs w:val="24"/>
          <w:lang w:val="en-US"/>
        </w:rPr>
        <w:t>are investigated.</w:t>
      </w:r>
    </w:p>
    <w:p w:rsidR="0099279C" w:rsidRPr="0099279C" w:rsidRDefault="0099279C" w:rsidP="0099279C">
      <w:pPr>
        <w:pStyle w:val="TableofContents"/>
        <w:rPr>
          <w:rFonts w:ascii="Times New Roman" w:hAnsi="Times New Roman" w:cs="Times New Roman"/>
          <w:szCs w:val="28"/>
        </w:rPr>
      </w:pPr>
      <w:r w:rsidRPr="0099279C">
        <w:rPr>
          <w:rFonts w:ascii="Times New Roman" w:hAnsi="Times New Roman" w:cs="Times New Roman"/>
          <w:szCs w:val="28"/>
        </w:rPr>
        <w:t>Table of Contents</w:t>
      </w:r>
    </w:p>
    <w:p w:rsidR="0099279C" w:rsidRDefault="0099279C" w:rsidP="0099279C">
      <w:pPr>
        <w:pStyle w:val="TOC1"/>
        <w:rPr>
          <w:rFonts w:ascii="Times New Roman" w:hAnsi="Times New Roman" w:cs="Times New Roman"/>
          <w:sz w:val="24"/>
          <w:szCs w:val="24"/>
        </w:rPr>
      </w:pPr>
    </w:p>
    <w:p w:rsidR="00EC7648" w:rsidRDefault="00447447">
      <w:pPr>
        <w:pStyle w:val="TOC1"/>
        <w:rPr>
          <w:rFonts w:asciiTheme="minorHAnsi" w:eastAsiaTheme="minorEastAsia" w:hAnsiTheme="minorHAnsi" w:cstheme="minorBidi"/>
          <w:b w:val="0"/>
          <w:bCs w:val="0"/>
          <w:caps w:val="0"/>
          <w:szCs w:val="22"/>
        </w:rPr>
      </w:pPr>
      <w:r w:rsidRPr="00457406">
        <w:rPr>
          <w:rFonts w:ascii="Times New Roman" w:hAnsi="Times New Roman" w:cs="Times New Roman"/>
          <w:sz w:val="24"/>
          <w:szCs w:val="24"/>
        </w:rPr>
        <w:fldChar w:fldCharType="begin"/>
      </w:r>
      <w:r w:rsidR="00293B07">
        <w:rPr>
          <w:rFonts w:ascii="Times New Roman" w:hAnsi="Times New Roman" w:cs="Times New Roman"/>
          <w:sz w:val="24"/>
          <w:szCs w:val="24"/>
        </w:rPr>
        <w:instrText xml:space="preserve"> TOC \o "1-4" \h \z </w:instrText>
      </w:r>
      <w:r w:rsidRPr="00457406">
        <w:rPr>
          <w:rFonts w:ascii="Times New Roman" w:hAnsi="Times New Roman" w:cs="Times New Roman"/>
          <w:sz w:val="24"/>
          <w:szCs w:val="24"/>
        </w:rPr>
        <w:fldChar w:fldCharType="separate"/>
      </w:r>
      <w:hyperlink w:anchor="_Toc343007907" w:history="1">
        <w:r w:rsidR="00EC7648" w:rsidRPr="00CD0585">
          <w:rPr>
            <w:rStyle w:val="Hyperlink"/>
          </w:rPr>
          <w:t>1.0</w:t>
        </w:r>
        <w:r w:rsidR="00EC7648">
          <w:rPr>
            <w:rFonts w:asciiTheme="minorHAnsi" w:eastAsiaTheme="minorEastAsia" w:hAnsiTheme="minorHAnsi" w:cstheme="minorBidi"/>
            <w:b w:val="0"/>
            <w:bCs w:val="0"/>
            <w:caps w:val="0"/>
            <w:szCs w:val="22"/>
          </w:rPr>
          <w:tab/>
        </w:r>
        <w:r w:rsidR="00EC7648" w:rsidRPr="00CD0585">
          <w:rPr>
            <w:rStyle w:val="Hyperlink"/>
          </w:rPr>
          <w:t>Introduction</w:t>
        </w:r>
        <w:r w:rsidR="00EC7648">
          <w:rPr>
            <w:webHidden/>
          </w:rPr>
          <w:tab/>
        </w:r>
        <w:r w:rsidR="00EC7648">
          <w:rPr>
            <w:webHidden/>
          </w:rPr>
          <w:fldChar w:fldCharType="begin"/>
        </w:r>
        <w:r w:rsidR="00EC7648">
          <w:rPr>
            <w:webHidden/>
          </w:rPr>
          <w:instrText xml:space="preserve"> PAGEREF _Toc343007907 \h </w:instrText>
        </w:r>
        <w:r w:rsidR="00EC7648">
          <w:rPr>
            <w:webHidden/>
          </w:rPr>
        </w:r>
        <w:r w:rsidR="00EC7648">
          <w:rPr>
            <w:webHidden/>
          </w:rPr>
          <w:fldChar w:fldCharType="separate"/>
        </w:r>
        <w:r w:rsidR="00224BBB">
          <w:rPr>
            <w:webHidden/>
          </w:rPr>
          <w:t>9</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08" w:history="1">
        <w:r w:rsidR="00EC7648" w:rsidRPr="00CD0585">
          <w:rPr>
            <w:rStyle w:val="Hyperlink"/>
          </w:rPr>
          <w:t>1.1</w:t>
        </w:r>
        <w:r w:rsidR="00EC7648">
          <w:rPr>
            <w:rFonts w:asciiTheme="minorHAnsi" w:eastAsiaTheme="minorEastAsia" w:hAnsiTheme="minorHAnsi" w:cstheme="minorBidi"/>
            <w:caps w:val="0"/>
            <w:szCs w:val="22"/>
          </w:rPr>
          <w:tab/>
        </w:r>
        <w:r w:rsidR="00EC7648" w:rsidRPr="00CD0585">
          <w:rPr>
            <w:rStyle w:val="Hyperlink"/>
          </w:rPr>
          <w:t>Description of the FARALLON ISLANDS</w:t>
        </w:r>
        <w:r w:rsidR="00EC7648">
          <w:rPr>
            <w:webHidden/>
          </w:rPr>
          <w:tab/>
        </w:r>
        <w:r w:rsidR="00EC7648">
          <w:rPr>
            <w:webHidden/>
          </w:rPr>
          <w:fldChar w:fldCharType="begin"/>
        </w:r>
        <w:r w:rsidR="00EC7648">
          <w:rPr>
            <w:webHidden/>
          </w:rPr>
          <w:instrText xml:space="preserve"> PAGEREF _Toc343007908 \h </w:instrText>
        </w:r>
        <w:r w:rsidR="00EC7648">
          <w:rPr>
            <w:webHidden/>
          </w:rPr>
        </w:r>
        <w:r w:rsidR="00EC7648">
          <w:rPr>
            <w:webHidden/>
          </w:rPr>
          <w:fldChar w:fldCharType="separate"/>
        </w:r>
        <w:r w:rsidR="00224BBB">
          <w:rPr>
            <w:webHidden/>
          </w:rPr>
          <w:t>9</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09" w:history="1">
        <w:r w:rsidR="00EC7648" w:rsidRPr="00CD0585">
          <w:rPr>
            <w:rStyle w:val="Hyperlink"/>
          </w:rPr>
          <w:t>1.2</w:t>
        </w:r>
        <w:r w:rsidR="00EC7648">
          <w:rPr>
            <w:rFonts w:asciiTheme="minorHAnsi" w:eastAsiaTheme="minorEastAsia" w:hAnsiTheme="minorHAnsi" w:cstheme="minorBidi"/>
            <w:caps w:val="0"/>
            <w:szCs w:val="22"/>
          </w:rPr>
          <w:tab/>
        </w:r>
        <w:r w:rsidR="00EC7648" w:rsidRPr="00CD0585">
          <w:rPr>
            <w:rStyle w:val="Hyperlink"/>
          </w:rPr>
          <w:t>The Western Gull (</w:t>
        </w:r>
        <w:r w:rsidR="00EC7648" w:rsidRPr="00CD0585">
          <w:rPr>
            <w:rStyle w:val="Hyperlink"/>
            <w:i/>
          </w:rPr>
          <w:t>Larus occidentalis</w:t>
        </w:r>
        <w:r w:rsidR="00EC7648" w:rsidRPr="00CD0585">
          <w:rPr>
            <w:rStyle w:val="Hyperlink"/>
          </w:rPr>
          <w:t>)</w:t>
        </w:r>
        <w:r w:rsidR="00EC7648">
          <w:rPr>
            <w:webHidden/>
          </w:rPr>
          <w:tab/>
        </w:r>
        <w:r w:rsidR="00EC7648">
          <w:rPr>
            <w:webHidden/>
          </w:rPr>
          <w:fldChar w:fldCharType="begin"/>
        </w:r>
        <w:r w:rsidR="00EC7648">
          <w:rPr>
            <w:webHidden/>
          </w:rPr>
          <w:instrText xml:space="preserve"> PAGEREF _Toc343007909 \h </w:instrText>
        </w:r>
        <w:r w:rsidR="00EC7648">
          <w:rPr>
            <w:webHidden/>
          </w:rPr>
        </w:r>
        <w:r w:rsidR="00EC7648">
          <w:rPr>
            <w:webHidden/>
          </w:rPr>
          <w:fldChar w:fldCharType="separate"/>
        </w:r>
        <w:r w:rsidR="00224BBB">
          <w:rPr>
            <w:webHidden/>
          </w:rPr>
          <w:t>9</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0" w:history="1">
        <w:r w:rsidR="00EC7648" w:rsidRPr="00CD0585">
          <w:rPr>
            <w:rStyle w:val="Hyperlink"/>
          </w:rPr>
          <w:t>1.3</w:t>
        </w:r>
        <w:r w:rsidR="00EC7648">
          <w:rPr>
            <w:rFonts w:asciiTheme="minorHAnsi" w:eastAsiaTheme="minorEastAsia" w:hAnsiTheme="minorHAnsi" w:cstheme="minorBidi"/>
            <w:caps w:val="0"/>
            <w:szCs w:val="22"/>
          </w:rPr>
          <w:tab/>
        </w:r>
        <w:r w:rsidR="00EC7648" w:rsidRPr="00CD0585">
          <w:rPr>
            <w:rStyle w:val="Hyperlink"/>
          </w:rPr>
          <w:t>Project Background</w:t>
        </w:r>
        <w:r w:rsidR="00EC7648">
          <w:rPr>
            <w:webHidden/>
          </w:rPr>
          <w:tab/>
        </w:r>
        <w:r w:rsidR="00EC7648">
          <w:rPr>
            <w:webHidden/>
          </w:rPr>
          <w:fldChar w:fldCharType="begin"/>
        </w:r>
        <w:r w:rsidR="00EC7648">
          <w:rPr>
            <w:webHidden/>
          </w:rPr>
          <w:instrText xml:space="preserve"> PAGEREF _Toc343007910 \h </w:instrText>
        </w:r>
        <w:r w:rsidR="00EC7648">
          <w:rPr>
            <w:webHidden/>
          </w:rPr>
        </w:r>
        <w:r w:rsidR="00EC7648">
          <w:rPr>
            <w:webHidden/>
          </w:rPr>
          <w:fldChar w:fldCharType="separate"/>
        </w:r>
        <w:r w:rsidR="00224BBB">
          <w:rPr>
            <w:webHidden/>
          </w:rPr>
          <w:t>10</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11" w:history="1">
        <w:r w:rsidR="00EC7648" w:rsidRPr="00CD0585">
          <w:rPr>
            <w:rStyle w:val="Hyperlink"/>
          </w:rPr>
          <w:t>2.0</w:t>
        </w:r>
        <w:r w:rsidR="00EC7648">
          <w:rPr>
            <w:rFonts w:asciiTheme="minorHAnsi" w:eastAsiaTheme="minorEastAsia" w:hAnsiTheme="minorHAnsi" w:cstheme="minorBidi"/>
            <w:b w:val="0"/>
            <w:bCs w:val="0"/>
            <w:caps w:val="0"/>
            <w:szCs w:val="22"/>
          </w:rPr>
          <w:tab/>
        </w:r>
        <w:r w:rsidR="00EC7648" w:rsidRPr="00CD0585">
          <w:rPr>
            <w:rStyle w:val="Hyperlink"/>
          </w:rPr>
          <w:t>PROBLEM FORMULATION</w:t>
        </w:r>
        <w:r w:rsidR="00EC7648">
          <w:rPr>
            <w:webHidden/>
          </w:rPr>
          <w:tab/>
        </w:r>
        <w:r w:rsidR="00EC7648">
          <w:rPr>
            <w:webHidden/>
          </w:rPr>
          <w:fldChar w:fldCharType="begin"/>
        </w:r>
        <w:r w:rsidR="00EC7648">
          <w:rPr>
            <w:webHidden/>
          </w:rPr>
          <w:instrText xml:space="preserve"> PAGEREF _Toc343007911 \h </w:instrText>
        </w:r>
        <w:r w:rsidR="00EC7648">
          <w:rPr>
            <w:webHidden/>
          </w:rPr>
        </w:r>
        <w:r w:rsidR="00EC7648">
          <w:rPr>
            <w:webHidden/>
          </w:rPr>
          <w:fldChar w:fldCharType="separate"/>
        </w:r>
        <w:r w:rsidR="00224BBB">
          <w:rPr>
            <w:webHidden/>
          </w:rPr>
          <w:t>12</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2" w:history="1">
        <w:r w:rsidR="00EC7648" w:rsidRPr="00CD0585">
          <w:rPr>
            <w:rStyle w:val="Hyperlink"/>
          </w:rPr>
          <w:t>2.1</w:t>
        </w:r>
        <w:r w:rsidR="00EC7648">
          <w:rPr>
            <w:rFonts w:asciiTheme="minorHAnsi" w:eastAsiaTheme="minorEastAsia" w:hAnsiTheme="minorHAnsi" w:cstheme="minorBidi"/>
            <w:caps w:val="0"/>
            <w:szCs w:val="22"/>
          </w:rPr>
          <w:tab/>
        </w:r>
        <w:r w:rsidR="00EC7648" w:rsidRPr="00CD0585">
          <w:rPr>
            <w:rStyle w:val="Hyperlink"/>
          </w:rPr>
          <w:t>Brodifacoum</w:t>
        </w:r>
        <w:r w:rsidR="00EC7648">
          <w:rPr>
            <w:webHidden/>
          </w:rPr>
          <w:tab/>
        </w:r>
        <w:r w:rsidR="00EC7648">
          <w:rPr>
            <w:webHidden/>
          </w:rPr>
          <w:fldChar w:fldCharType="begin"/>
        </w:r>
        <w:r w:rsidR="00EC7648">
          <w:rPr>
            <w:webHidden/>
          </w:rPr>
          <w:instrText xml:space="preserve"> PAGEREF _Toc343007912 \h </w:instrText>
        </w:r>
        <w:r w:rsidR="00EC7648">
          <w:rPr>
            <w:webHidden/>
          </w:rPr>
        </w:r>
        <w:r w:rsidR="00EC7648">
          <w:rPr>
            <w:webHidden/>
          </w:rPr>
          <w:fldChar w:fldCharType="separate"/>
        </w:r>
        <w:r w:rsidR="00224BBB">
          <w:rPr>
            <w:webHidden/>
          </w:rPr>
          <w:t>12</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3" w:history="1">
        <w:r w:rsidR="00EC7648" w:rsidRPr="00CD0585">
          <w:rPr>
            <w:rStyle w:val="Hyperlink"/>
          </w:rPr>
          <w:t>2.2</w:t>
        </w:r>
        <w:r w:rsidR="00EC7648">
          <w:rPr>
            <w:rFonts w:asciiTheme="minorHAnsi" w:eastAsiaTheme="minorEastAsia" w:hAnsiTheme="minorHAnsi" w:cstheme="minorBidi"/>
            <w:caps w:val="0"/>
            <w:szCs w:val="22"/>
          </w:rPr>
          <w:tab/>
        </w:r>
        <w:r w:rsidR="00EC7648" w:rsidRPr="00CD0585">
          <w:rPr>
            <w:rStyle w:val="Hyperlink"/>
          </w:rPr>
          <w:t>DIPHACINONE</w:t>
        </w:r>
        <w:r w:rsidR="00EC7648">
          <w:rPr>
            <w:webHidden/>
          </w:rPr>
          <w:tab/>
        </w:r>
        <w:r w:rsidR="00EC7648">
          <w:rPr>
            <w:webHidden/>
          </w:rPr>
          <w:fldChar w:fldCharType="begin"/>
        </w:r>
        <w:r w:rsidR="00EC7648">
          <w:rPr>
            <w:webHidden/>
          </w:rPr>
          <w:instrText xml:space="preserve"> PAGEREF _Toc343007913 \h </w:instrText>
        </w:r>
        <w:r w:rsidR="00EC7648">
          <w:rPr>
            <w:webHidden/>
          </w:rPr>
        </w:r>
        <w:r w:rsidR="00EC7648">
          <w:rPr>
            <w:webHidden/>
          </w:rPr>
          <w:fldChar w:fldCharType="separate"/>
        </w:r>
        <w:r w:rsidR="00224BBB">
          <w:rPr>
            <w:webHidden/>
          </w:rPr>
          <w:t>13</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4" w:history="1">
        <w:r w:rsidR="00EC7648" w:rsidRPr="00CD0585">
          <w:rPr>
            <w:rStyle w:val="Hyperlink"/>
          </w:rPr>
          <w:t>2.3</w:t>
        </w:r>
        <w:r w:rsidR="00EC7648">
          <w:rPr>
            <w:rFonts w:asciiTheme="minorHAnsi" w:eastAsiaTheme="minorEastAsia" w:hAnsiTheme="minorHAnsi" w:cstheme="minorBidi"/>
            <w:caps w:val="0"/>
            <w:szCs w:val="22"/>
          </w:rPr>
          <w:tab/>
        </w:r>
        <w:r w:rsidR="00EC7648" w:rsidRPr="00CD0585">
          <w:rPr>
            <w:rStyle w:val="Hyperlink"/>
          </w:rPr>
          <w:t>Focal Species</w:t>
        </w:r>
        <w:r w:rsidR="00EC7648">
          <w:rPr>
            <w:webHidden/>
          </w:rPr>
          <w:tab/>
        </w:r>
        <w:r w:rsidR="00EC7648">
          <w:rPr>
            <w:webHidden/>
          </w:rPr>
          <w:fldChar w:fldCharType="begin"/>
        </w:r>
        <w:r w:rsidR="00EC7648">
          <w:rPr>
            <w:webHidden/>
          </w:rPr>
          <w:instrText xml:space="preserve"> PAGEREF _Toc343007914 \h </w:instrText>
        </w:r>
        <w:r w:rsidR="00EC7648">
          <w:rPr>
            <w:webHidden/>
          </w:rPr>
        </w:r>
        <w:r w:rsidR="00EC7648">
          <w:rPr>
            <w:webHidden/>
          </w:rPr>
          <w:fldChar w:fldCharType="separate"/>
        </w:r>
        <w:r w:rsidR="00224BBB">
          <w:rPr>
            <w:webHidden/>
          </w:rPr>
          <w:t>14</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5" w:history="1">
        <w:r w:rsidR="00EC7648" w:rsidRPr="00CD0585">
          <w:rPr>
            <w:rStyle w:val="Hyperlink"/>
          </w:rPr>
          <w:t>2.4</w:t>
        </w:r>
        <w:r w:rsidR="00EC7648">
          <w:rPr>
            <w:rFonts w:asciiTheme="minorHAnsi" w:eastAsiaTheme="minorEastAsia" w:hAnsiTheme="minorHAnsi" w:cstheme="minorBidi"/>
            <w:caps w:val="0"/>
            <w:szCs w:val="22"/>
          </w:rPr>
          <w:tab/>
        </w:r>
        <w:r w:rsidR="00EC7648" w:rsidRPr="00CD0585">
          <w:rPr>
            <w:rStyle w:val="Hyperlink"/>
          </w:rPr>
          <w:t>Exposure Routes</w:t>
        </w:r>
        <w:r w:rsidR="00EC7648">
          <w:rPr>
            <w:webHidden/>
          </w:rPr>
          <w:tab/>
        </w:r>
        <w:r w:rsidR="00EC7648">
          <w:rPr>
            <w:webHidden/>
          </w:rPr>
          <w:fldChar w:fldCharType="begin"/>
        </w:r>
        <w:r w:rsidR="00EC7648">
          <w:rPr>
            <w:webHidden/>
          </w:rPr>
          <w:instrText xml:space="preserve"> PAGEREF _Toc343007915 \h </w:instrText>
        </w:r>
        <w:r w:rsidR="00EC7648">
          <w:rPr>
            <w:webHidden/>
          </w:rPr>
        </w:r>
        <w:r w:rsidR="00EC7648">
          <w:rPr>
            <w:webHidden/>
          </w:rPr>
          <w:fldChar w:fldCharType="separate"/>
        </w:r>
        <w:r w:rsidR="00224BBB">
          <w:rPr>
            <w:webHidden/>
          </w:rPr>
          <w:t>14</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6" w:history="1">
        <w:r w:rsidR="00EC7648" w:rsidRPr="00CD0585">
          <w:rPr>
            <w:rStyle w:val="Hyperlink"/>
          </w:rPr>
          <w:t>2.5</w:t>
        </w:r>
        <w:r w:rsidR="00EC7648">
          <w:rPr>
            <w:rFonts w:asciiTheme="minorHAnsi" w:eastAsiaTheme="minorEastAsia" w:hAnsiTheme="minorHAnsi" w:cstheme="minorBidi"/>
            <w:caps w:val="0"/>
            <w:szCs w:val="22"/>
          </w:rPr>
          <w:tab/>
        </w:r>
        <w:r w:rsidR="00EC7648" w:rsidRPr="00CD0585">
          <w:rPr>
            <w:rStyle w:val="Hyperlink"/>
          </w:rPr>
          <w:t>Protection Goal and Assessment Endpoint</w:t>
        </w:r>
        <w:r w:rsidR="00EC7648">
          <w:rPr>
            <w:webHidden/>
          </w:rPr>
          <w:tab/>
        </w:r>
        <w:r w:rsidR="00EC7648">
          <w:rPr>
            <w:webHidden/>
          </w:rPr>
          <w:fldChar w:fldCharType="begin"/>
        </w:r>
        <w:r w:rsidR="00EC7648">
          <w:rPr>
            <w:webHidden/>
          </w:rPr>
          <w:instrText xml:space="preserve"> PAGEREF _Toc343007916 \h </w:instrText>
        </w:r>
        <w:r w:rsidR="00EC7648">
          <w:rPr>
            <w:webHidden/>
          </w:rPr>
        </w:r>
        <w:r w:rsidR="00EC7648">
          <w:rPr>
            <w:webHidden/>
          </w:rPr>
          <w:fldChar w:fldCharType="separate"/>
        </w:r>
        <w:r w:rsidR="00224BBB">
          <w:rPr>
            <w:webHidden/>
          </w:rPr>
          <w:t>14</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7" w:history="1">
        <w:r w:rsidR="00EC7648" w:rsidRPr="00CD0585">
          <w:rPr>
            <w:rStyle w:val="Hyperlink"/>
          </w:rPr>
          <w:t>2.6</w:t>
        </w:r>
        <w:r w:rsidR="00EC7648">
          <w:rPr>
            <w:rFonts w:asciiTheme="minorHAnsi" w:eastAsiaTheme="minorEastAsia" w:hAnsiTheme="minorHAnsi" w:cstheme="minorBidi"/>
            <w:caps w:val="0"/>
            <w:szCs w:val="22"/>
          </w:rPr>
          <w:tab/>
        </w:r>
        <w:r w:rsidR="00EC7648" w:rsidRPr="00CD0585">
          <w:rPr>
            <w:rStyle w:val="Hyperlink"/>
          </w:rPr>
          <w:t>Measurement Endpoints and Analysis Plan</w:t>
        </w:r>
        <w:r w:rsidR="00EC7648">
          <w:rPr>
            <w:webHidden/>
          </w:rPr>
          <w:tab/>
        </w:r>
        <w:r w:rsidR="00EC7648">
          <w:rPr>
            <w:webHidden/>
          </w:rPr>
          <w:fldChar w:fldCharType="begin"/>
        </w:r>
        <w:r w:rsidR="00EC7648">
          <w:rPr>
            <w:webHidden/>
          </w:rPr>
          <w:instrText xml:space="preserve"> PAGEREF _Toc343007917 \h </w:instrText>
        </w:r>
        <w:r w:rsidR="00EC7648">
          <w:rPr>
            <w:webHidden/>
          </w:rPr>
        </w:r>
        <w:r w:rsidR="00EC7648">
          <w:rPr>
            <w:webHidden/>
          </w:rPr>
          <w:fldChar w:fldCharType="separate"/>
        </w:r>
        <w:r w:rsidR="00224BBB">
          <w:rPr>
            <w:webHidden/>
          </w:rPr>
          <w:t>15</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18" w:history="1">
        <w:r w:rsidR="00EC7648" w:rsidRPr="00CD0585">
          <w:rPr>
            <w:rStyle w:val="Hyperlink"/>
          </w:rPr>
          <w:t>3.0</w:t>
        </w:r>
        <w:r w:rsidR="00EC7648">
          <w:rPr>
            <w:rFonts w:asciiTheme="minorHAnsi" w:eastAsiaTheme="minorEastAsia" w:hAnsiTheme="minorHAnsi" w:cstheme="minorBidi"/>
            <w:b w:val="0"/>
            <w:bCs w:val="0"/>
            <w:caps w:val="0"/>
            <w:szCs w:val="22"/>
          </w:rPr>
          <w:tab/>
        </w:r>
        <w:r w:rsidR="00EC7648" w:rsidRPr="00CD0585">
          <w:rPr>
            <w:rStyle w:val="Hyperlink"/>
          </w:rPr>
          <w:t>EXPOSURE MODEL</w:t>
        </w:r>
        <w:r w:rsidR="00EC7648">
          <w:rPr>
            <w:webHidden/>
          </w:rPr>
          <w:tab/>
        </w:r>
        <w:r w:rsidR="00EC7648">
          <w:rPr>
            <w:webHidden/>
          </w:rPr>
          <w:fldChar w:fldCharType="begin"/>
        </w:r>
        <w:r w:rsidR="00EC7648">
          <w:rPr>
            <w:webHidden/>
          </w:rPr>
          <w:instrText xml:space="preserve"> PAGEREF _Toc343007918 \h </w:instrText>
        </w:r>
        <w:r w:rsidR="00EC7648">
          <w:rPr>
            <w:webHidden/>
          </w:rPr>
        </w:r>
        <w:r w:rsidR="00EC7648">
          <w:rPr>
            <w:webHidden/>
          </w:rPr>
          <w:fldChar w:fldCharType="separate"/>
        </w:r>
        <w:r w:rsidR="00224BBB">
          <w:rPr>
            <w:webHidden/>
          </w:rPr>
          <w:t>16</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19" w:history="1">
        <w:r w:rsidR="00EC7648" w:rsidRPr="00CD0585">
          <w:rPr>
            <w:rStyle w:val="Hyperlink"/>
          </w:rPr>
          <w:t>3.1</w:t>
        </w:r>
        <w:r w:rsidR="00EC7648">
          <w:rPr>
            <w:rFonts w:asciiTheme="minorHAnsi" w:eastAsiaTheme="minorEastAsia" w:hAnsiTheme="minorHAnsi" w:cstheme="minorBidi"/>
            <w:caps w:val="0"/>
            <w:szCs w:val="22"/>
          </w:rPr>
          <w:tab/>
        </w:r>
        <w:r w:rsidR="00EC7648" w:rsidRPr="00CD0585">
          <w:rPr>
            <w:rStyle w:val="Hyperlink"/>
          </w:rPr>
          <w:t>Overview of Exposure Model</w:t>
        </w:r>
        <w:r w:rsidR="00EC7648">
          <w:rPr>
            <w:webHidden/>
          </w:rPr>
          <w:tab/>
        </w:r>
        <w:r w:rsidR="00EC7648">
          <w:rPr>
            <w:webHidden/>
          </w:rPr>
          <w:fldChar w:fldCharType="begin"/>
        </w:r>
        <w:r w:rsidR="00EC7648">
          <w:rPr>
            <w:webHidden/>
          </w:rPr>
          <w:instrText xml:space="preserve"> PAGEREF _Toc343007919 \h </w:instrText>
        </w:r>
        <w:r w:rsidR="00EC7648">
          <w:rPr>
            <w:webHidden/>
          </w:rPr>
        </w:r>
        <w:r w:rsidR="00EC7648">
          <w:rPr>
            <w:webHidden/>
          </w:rPr>
          <w:fldChar w:fldCharType="separate"/>
        </w:r>
        <w:r w:rsidR="00224BBB">
          <w:rPr>
            <w:webHidden/>
          </w:rPr>
          <w:t>16</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20" w:history="1">
        <w:r w:rsidR="00EC7648" w:rsidRPr="00CD0585">
          <w:rPr>
            <w:rStyle w:val="Hyperlink"/>
          </w:rPr>
          <w:t>3.2</w:t>
        </w:r>
        <w:r w:rsidR="00EC7648">
          <w:rPr>
            <w:rFonts w:asciiTheme="minorHAnsi" w:eastAsiaTheme="minorEastAsia" w:hAnsiTheme="minorHAnsi" w:cstheme="minorBidi"/>
            <w:caps w:val="0"/>
            <w:szCs w:val="22"/>
          </w:rPr>
          <w:tab/>
        </w:r>
        <w:r w:rsidR="00EC7648" w:rsidRPr="00CD0585">
          <w:rPr>
            <w:rStyle w:val="Hyperlink"/>
          </w:rPr>
          <w:t>Detailed Description of Exposure Model INPUTs and COMPONENTS</w:t>
        </w:r>
        <w:r w:rsidR="00EC7648">
          <w:rPr>
            <w:webHidden/>
          </w:rPr>
          <w:tab/>
        </w:r>
        <w:r w:rsidR="00EC7648">
          <w:rPr>
            <w:webHidden/>
          </w:rPr>
          <w:fldChar w:fldCharType="begin"/>
        </w:r>
        <w:r w:rsidR="00EC7648">
          <w:rPr>
            <w:webHidden/>
          </w:rPr>
          <w:instrText xml:space="preserve"> PAGEREF _Toc343007920 \h </w:instrText>
        </w:r>
        <w:r w:rsidR="00EC7648">
          <w:rPr>
            <w:webHidden/>
          </w:rPr>
        </w:r>
        <w:r w:rsidR="00EC7648">
          <w:rPr>
            <w:webHidden/>
          </w:rPr>
          <w:fldChar w:fldCharType="separate"/>
        </w:r>
        <w:r w:rsidR="00224BBB">
          <w:rPr>
            <w:webHidden/>
          </w:rPr>
          <w:t>23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1" w:history="1">
        <w:r w:rsidR="00EC7648" w:rsidRPr="00CD0585">
          <w:rPr>
            <w:rStyle w:val="Hyperlink"/>
          </w:rPr>
          <w:t>3.2.1</w:t>
        </w:r>
        <w:r w:rsidR="00EC7648">
          <w:rPr>
            <w:rFonts w:asciiTheme="minorHAnsi" w:eastAsiaTheme="minorEastAsia" w:hAnsiTheme="minorHAnsi" w:cstheme="minorBidi"/>
            <w:szCs w:val="22"/>
          </w:rPr>
          <w:tab/>
        </w:r>
        <w:r w:rsidR="00EC7648" w:rsidRPr="00CD0585">
          <w:rPr>
            <w:rStyle w:val="Hyperlink"/>
          </w:rPr>
          <w:t>Application of Rodenticide</w:t>
        </w:r>
        <w:r w:rsidR="00EC7648">
          <w:rPr>
            <w:webHidden/>
          </w:rPr>
          <w:tab/>
        </w:r>
        <w:r w:rsidR="00EC7648">
          <w:rPr>
            <w:webHidden/>
          </w:rPr>
          <w:fldChar w:fldCharType="begin"/>
        </w:r>
        <w:r w:rsidR="00EC7648">
          <w:rPr>
            <w:webHidden/>
          </w:rPr>
          <w:instrText xml:space="preserve"> PAGEREF _Toc343007921 \h </w:instrText>
        </w:r>
        <w:r w:rsidR="00EC7648">
          <w:rPr>
            <w:webHidden/>
          </w:rPr>
        </w:r>
        <w:r w:rsidR="00EC7648">
          <w:rPr>
            <w:webHidden/>
          </w:rPr>
          <w:fldChar w:fldCharType="separate"/>
        </w:r>
        <w:r w:rsidR="00224BBB">
          <w:rPr>
            <w:webHidden/>
          </w:rPr>
          <w:t>23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2" w:history="1">
        <w:r w:rsidR="00EC7648" w:rsidRPr="00CD0585">
          <w:rPr>
            <w:rStyle w:val="Hyperlink"/>
          </w:rPr>
          <w:t>3.2.2</w:t>
        </w:r>
        <w:r w:rsidR="00EC7648">
          <w:rPr>
            <w:rFonts w:asciiTheme="minorHAnsi" w:eastAsiaTheme="minorEastAsia" w:hAnsiTheme="minorHAnsi" w:cstheme="minorBidi"/>
            <w:szCs w:val="22"/>
          </w:rPr>
          <w:tab/>
        </w:r>
        <w:r w:rsidR="00EC7648" w:rsidRPr="00CD0585">
          <w:rPr>
            <w:rStyle w:val="Hyperlink"/>
          </w:rPr>
          <w:t>Date of Initial Application</w:t>
        </w:r>
        <w:r w:rsidR="00EC7648">
          <w:rPr>
            <w:webHidden/>
          </w:rPr>
          <w:tab/>
        </w:r>
        <w:r w:rsidR="00EC7648">
          <w:rPr>
            <w:webHidden/>
          </w:rPr>
          <w:fldChar w:fldCharType="begin"/>
        </w:r>
        <w:r w:rsidR="00EC7648">
          <w:rPr>
            <w:webHidden/>
          </w:rPr>
          <w:instrText xml:space="preserve"> PAGEREF _Toc343007922 \h </w:instrText>
        </w:r>
        <w:r w:rsidR="00EC7648">
          <w:rPr>
            <w:webHidden/>
          </w:rPr>
        </w:r>
        <w:r w:rsidR="00EC7648">
          <w:rPr>
            <w:webHidden/>
          </w:rPr>
          <w:fldChar w:fldCharType="separate"/>
        </w:r>
        <w:r w:rsidR="00224BBB">
          <w:rPr>
            <w:webHidden/>
          </w:rPr>
          <w:t>23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3" w:history="1">
        <w:r w:rsidR="00EC7648" w:rsidRPr="00CD0585">
          <w:rPr>
            <w:rStyle w:val="Hyperlink"/>
          </w:rPr>
          <w:t>3.2.3</w:t>
        </w:r>
        <w:r w:rsidR="00EC7648">
          <w:rPr>
            <w:rFonts w:asciiTheme="minorHAnsi" w:eastAsiaTheme="minorEastAsia" w:hAnsiTheme="minorHAnsi" w:cstheme="minorBidi"/>
            <w:szCs w:val="22"/>
          </w:rPr>
          <w:tab/>
        </w:r>
        <w:r w:rsidR="00EC7648" w:rsidRPr="00CD0585">
          <w:rPr>
            <w:rStyle w:val="Hyperlink"/>
          </w:rPr>
          <w:t>Removal of Pellets</w:t>
        </w:r>
        <w:r w:rsidR="00EC7648">
          <w:rPr>
            <w:webHidden/>
          </w:rPr>
          <w:tab/>
        </w:r>
        <w:r w:rsidR="00EC7648">
          <w:rPr>
            <w:webHidden/>
          </w:rPr>
          <w:fldChar w:fldCharType="begin"/>
        </w:r>
        <w:r w:rsidR="00EC7648">
          <w:rPr>
            <w:webHidden/>
          </w:rPr>
          <w:instrText xml:space="preserve"> PAGEREF _Toc343007923 \h </w:instrText>
        </w:r>
        <w:r w:rsidR="00EC7648">
          <w:rPr>
            <w:webHidden/>
          </w:rPr>
        </w:r>
        <w:r w:rsidR="00EC7648">
          <w:rPr>
            <w:webHidden/>
          </w:rPr>
          <w:fldChar w:fldCharType="separate"/>
        </w:r>
        <w:r w:rsidR="00224BBB">
          <w:rPr>
            <w:webHidden/>
          </w:rPr>
          <w:t>23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4" w:history="1">
        <w:r w:rsidR="00EC7648" w:rsidRPr="00CD0585">
          <w:rPr>
            <w:rStyle w:val="Hyperlink"/>
          </w:rPr>
          <w:t>3.2.4</w:t>
        </w:r>
        <w:r w:rsidR="00EC7648">
          <w:rPr>
            <w:rFonts w:asciiTheme="minorHAnsi" w:eastAsiaTheme="minorEastAsia" w:hAnsiTheme="minorHAnsi" w:cstheme="minorBidi"/>
            <w:szCs w:val="22"/>
          </w:rPr>
          <w:tab/>
        </w:r>
        <w:r w:rsidR="00EC7648" w:rsidRPr="00CD0585">
          <w:rPr>
            <w:rStyle w:val="Hyperlink"/>
          </w:rPr>
          <w:t>Number, Sex and Life Stage of Western Gulls on SFI</w:t>
        </w:r>
        <w:r w:rsidR="00EC7648">
          <w:rPr>
            <w:webHidden/>
          </w:rPr>
          <w:tab/>
        </w:r>
        <w:r w:rsidR="00EC7648">
          <w:rPr>
            <w:webHidden/>
          </w:rPr>
          <w:fldChar w:fldCharType="begin"/>
        </w:r>
        <w:r w:rsidR="00EC7648">
          <w:rPr>
            <w:webHidden/>
          </w:rPr>
          <w:instrText xml:space="preserve"> PAGEREF _Toc343007924 \h </w:instrText>
        </w:r>
        <w:r w:rsidR="00EC7648">
          <w:rPr>
            <w:webHidden/>
          </w:rPr>
        </w:r>
        <w:r w:rsidR="00EC7648">
          <w:rPr>
            <w:webHidden/>
          </w:rPr>
          <w:fldChar w:fldCharType="separate"/>
        </w:r>
        <w:r w:rsidR="00224BBB">
          <w:rPr>
            <w:webHidden/>
          </w:rPr>
          <w:t>25</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5" w:history="1">
        <w:r w:rsidR="00EC7648" w:rsidRPr="00CD0585">
          <w:rPr>
            <w:rStyle w:val="Hyperlink"/>
          </w:rPr>
          <w:t>3.2.5</w:t>
        </w:r>
        <w:r w:rsidR="00EC7648">
          <w:rPr>
            <w:rFonts w:asciiTheme="minorHAnsi" w:eastAsiaTheme="minorEastAsia" w:hAnsiTheme="minorHAnsi" w:cstheme="minorBidi"/>
            <w:szCs w:val="22"/>
          </w:rPr>
          <w:tab/>
        </w:r>
        <w:r w:rsidR="00EC7648" w:rsidRPr="00CD0585">
          <w:rPr>
            <w:rStyle w:val="Hyperlink"/>
          </w:rPr>
          <w:t>Size of Western Gulls</w:t>
        </w:r>
        <w:r w:rsidR="00EC7648">
          <w:rPr>
            <w:webHidden/>
          </w:rPr>
          <w:tab/>
        </w:r>
        <w:r w:rsidR="00EC7648">
          <w:rPr>
            <w:webHidden/>
          </w:rPr>
          <w:fldChar w:fldCharType="begin"/>
        </w:r>
        <w:r w:rsidR="00EC7648">
          <w:rPr>
            <w:webHidden/>
          </w:rPr>
          <w:instrText xml:space="preserve"> PAGEREF _Toc343007925 \h </w:instrText>
        </w:r>
        <w:r w:rsidR="00EC7648">
          <w:rPr>
            <w:webHidden/>
          </w:rPr>
        </w:r>
        <w:r w:rsidR="00EC7648">
          <w:rPr>
            <w:webHidden/>
          </w:rPr>
          <w:fldChar w:fldCharType="separate"/>
        </w:r>
        <w:r w:rsidR="00224BBB">
          <w:rPr>
            <w:webHidden/>
          </w:rPr>
          <w:t>27</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6" w:history="1">
        <w:r w:rsidR="00EC7648" w:rsidRPr="00CD0585">
          <w:rPr>
            <w:rStyle w:val="Hyperlink"/>
          </w:rPr>
          <w:t>3.2.6</w:t>
        </w:r>
        <w:r w:rsidR="00EC7648">
          <w:rPr>
            <w:rFonts w:asciiTheme="minorHAnsi" w:eastAsiaTheme="minorEastAsia" w:hAnsiTheme="minorHAnsi" w:cstheme="minorBidi"/>
            <w:szCs w:val="22"/>
          </w:rPr>
          <w:tab/>
        </w:r>
        <w:r w:rsidR="00EC7648" w:rsidRPr="00CD0585">
          <w:rPr>
            <w:rStyle w:val="Hyperlink"/>
          </w:rPr>
          <w:t>Hazing Success</w:t>
        </w:r>
        <w:r w:rsidR="00EC7648">
          <w:rPr>
            <w:webHidden/>
          </w:rPr>
          <w:tab/>
        </w:r>
        <w:r w:rsidR="00EC7648">
          <w:rPr>
            <w:webHidden/>
          </w:rPr>
          <w:fldChar w:fldCharType="begin"/>
        </w:r>
        <w:r w:rsidR="00EC7648">
          <w:rPr>
            <w:webHidden/>
          </w:rPr>
          <w:instrText xml:space="preserve"> PAGEREF _Toc343007926 \h </w:instrText>
        </w:r>
        <w:r w:rsidR="00EC7648">
          <w:rPr>
            <w:webHidden/>
          </w:rPr>
        </w:r>
        <w:r w:rsidR="00EC7648">
          <w:rPr>
            <w:webHidden/>
          </w:rPr>
          <w:fldChar w:fldCharType="separate"/>
        </w:r>
        <w:r w:rsidR="00224BBB">
          <w:rPr>
            <w:webHidden/>
          </w:rPr>
          <w:t>27</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7" w:history="1">
        <w:r w:rsidR="00EC7648" w:rsidRPr="00CD0585">
          <w:rPr>
            <w:rStyle w:val="Hyperlink"/>
          </w:rPr>
          <w:t>3.2.7</w:t>
        </w:r>
        <w:r w:rsidR="00EC7648">
          <w:rPr>
            <w:rFonts w:asciiTheme="minorHAnsi" w:eastAsiaTheme="minorEastAsia" w:hAnsiTheme="minorHAnsi" w:cstheme="minorBidi"/>
            <w:szCs w:val="22"/>
          </w:rPr>
          <w:tab/>
        </w:r>
        <w:r w:rsidR="00EC7648" w:rsidRPr="00CD0585">
          <w:rPr>
            <w:rStyle w:val="Hyperlink"/>
          </w:rPr>
          <w:t>Primary Exposure Route Variables</w:t>
        </w:r>
        <w:r w:rsidR="00EC7648">
          <w:rPr>
            <w:webHidden/>
          </w:rPr>
          <w:tab/>
        </w:r>
        <w:r w:rsidR="00EC7648">
          <w:rPr>
            <w:webHidden/>
          </w:rPr>
          <w:fldChar w:fldCharType="begin"/>
        </w:r>
        <w:r w:rsidR="00EC7648">
          <w:rPr>
            <w:webHidden/>
          </w:rPr>
          <w:instrText xml:space="preserve"> PAGEREF _Toc343007927 \h </w:instrText>
        </w:r>
        <w:r w:rsidR="00EC7648">
          <w:rPr>
            <w:webHidden/>
          </w:rPr>
        </w:r>
        <w:r w:rsidR="00EC7648">
          <w:rPr>
            <w:webHidden/>
          </w:rPr>
          <w:fldChar w:fldCharType="separate"/>
        </w:r>
        <w:r w:rsidR="00224BBB">
          <w:rPr>
            <w:webHidden/>
          </w:rPr>
          <w:t>27</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28" w:history="1">
        <w:r w:rsidR="00EC7648" w:rsidRPr="00CD0585">
          <w:rPr>
            <w:rStyle w:val="Hyperlink"/>
          </w:rPr>
          <w:t>3.2.8</w:t>
        </w:r>
        <w:r w:rsidR="00EC7648">
          <w:rPr>
            <w:rFonts w:asciiTheme="minorHAnsi" w:eastAsiaTheme="minorEastAsia" w:hAnsiTheme="minorHAnsi" w:cstheme="minorBidi"/>
            <w:szCs w:val="22"/>
          </w:rPr>
          <w:tab/>
        </w:r>
        <w:r w:rsidR="00EC7648" w:rsidRPr="00CD0585">
          <w:rPr>
            <w:rStyle w:val="Hyperlink"/>
          </w:rPr>
          <w:t>Secondary Exposure Route Variables</w:t>
        </w:r>
        <w:r w:rsidR="00EC7648">
          <w:rPr>
            <w:webHidden/>
          </w:rPr>
          <w:tab/>
        </w:r>
        <w:r w:rsidR="00EC7648">
          <w:rPr>
            <w:webHidden/>
          </w:rPr>
          <w:fldChar w:fldCharType="begin"/>
        </w:r>
        <w:r w:rsidR="00EC7648">
          <w:rPr>
            <w:webHidden/>
          </w:rPr>
          <w:instrText xml:space="preserve"> PAGEREF _Toc343007928 \h </w:instrText>
        </w:r>
        <w:r w:rsidR="00EC7648">
          <w:rPr>
            <w:webHidden/>
          </w:rPr>
        </w:r>
        <w:r w:rsidR="00EC7648">
          <w:rPr>
            <w:webHidden/>
          </w:rPr>
          <w:fldChar w:fldCharType="separate"/>
        </w:r>
        <w:r w:rsidR="00224BBB">
          <w:rPr>
            <w:webHidden/>
          </w:rPr>
          <w:t>29</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29" w:history="1">
        <w:r w:rsidR="00EC7648" w:rsidRPr="00CD0585">
          <w:rPr>
            <w:rStyle w:val="Hyperlink"/>
          </w:rPr>
          <w:t>4.0</w:t>
        </w:r>
        <w:r w:rsidR="00EC7648">
          <w:rPr>
            <w:rFonts w:asciiTheme="minorHAnsi" w:eastAsiaTheme="minorEastAsia" w:hAnsiTheme="minorHAnsi" w:cstheme="minorBidi"/>
            <w:b w:val="0"/>
            <w:bCs w:val="0"/>
            <w:caps w:val="0"/>
            <w:szCs w:val="22"/>
          </w:rPr>
          <w:tab/>
        </w:r>
        <w:r w:rsidR="00EC7648" w:rsidRPr="00CD0585">
          <w:rPr>
            <w:rStyle w:val="Hyperlink"/>
          </w:rPr>
          <w:t>Effects Characterization</w:t>
        </w:r>
        <w:r w:rsidR="00EC7648">
          <w:rPr>
            <w:webHidden/>
          </w:rPr>
          <w:tab/>
        </w:r>
        <w:r w:rsidR="00EC7648">
          <w:rPr>
            <w:webHidden/>
          </w:rPr>
          <w:fldChar w:fldCharType="begin"/>
        </w:r>
        <w:r w:rsidR="00EC7648">
          <w:rPr>
            <w:webHidden/>
          </w:rPr>
          <w:instrText xml:space="preserve"> PAGEREF _Toc343007929 \h </w:instrText>
        </w:r>
        <w:r w:rsidR="00EC7648">
          <w:rPr>
            <w:webHidden/>
          </w:rPr>
        </w:r>
        <w:r w:rsidR="00EC7648">
          <w:rPr>
            <w:webHidden/>
          </w:rPr>
          <w:fldChar w:fldCharType="separate"/>
        </w:r>
        <w:r w:rsidR="00224BBB">
          <w:rPr>
            <w:webHidden/>
          </w:rPr>
          <w:t>34</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30" w:history="1">
        <w:r w:rsidR="00EC7648" w:rsidRPr="00CD0585">
          <w:rPr>
            <w:rStyle w:val="Hyperlink"/>
          </w:rPr>
          <w:t>4.1</w:t>
        </w:r>
        <w:r w:rsidR="00EC7648">
          <w:rPr>
            <w:rFonts w:asciiTheme="minorHAnsi" w:eastAsiaTheme="minorEastAsia" w:hAnsiTheme="minorHAnsi" w:cstheme="minorBidi"/>
            <w:caps w:val="0"/>
            <w:szCs w:val="22"/>
          </w:rPr>
          <w:tab/>
        </w:r>
        <w:r w:rsidR="00EC7648" w:rsidRPr="00CD0585">
          <w:rPr>
            <w:rStyle w:val="Hyperlink"/>
          </w:rPr>
          <w:t>Effects metrics for brodifacoum</w:t>
        </w:r>
        <w:r w:rsidR="00EC7648">
          <w:rPr>
            <w:webHidden/>
          </w:rPr>
          <w:tab/>
        </w:r>
        <w:r w:rsidR="00EC7648">
          <w:rPr>
            <w:webHidden/>
          </w:rPr>
          <w:fldChar w:fldCharType="begin"/>
        </w:r>
        <w:r w:rsidR="00EC7648">
          <w:rPr>
            <w:webHidden/>
          </w:rPr>
          <w:instrText xml:space="preserve"> PAGEREF _Toc343007930 \h </w:instrText>
        </w:r>
        <w:r w:rsidR="00EC7648">
          <w:rPr>
            <w:webHidden/>
          </w:rPr>
        </w:r>
        <w:r w:rsidR="00EC7648">
          <w:rPr>
            <w:webHidden/>
          </w:rPr>
          <w:fldChar w:fldCharType="separate"/>
        </w:r>
        <w:r w:rsidR="00224BBB">
          <w:rPr>
            <w:webHidden/>
          </w:rPr>
          <w:t>34</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31" w:history="1">
        <w:r w:rsidR="00EC7648" w:rsidRPr="00CD0585">
          <w:rPr>
            <w:rStyle w:val="Hyperlink"/>
          </w:rPr>
          <w:t>4.2</w:t>
        </w:r>
        <w:r w:rsidR="00EC7648">
          <w:rPr>
            <w:rFonts w:asciiTheme="minorHAnsi" w:eastAsiaTheme="minorEastAsia" w:hAnsiTheme="minorHAnsi" w:cstheme="minorBidi"/>
            <w:caps w:val="0"/>
            <w:szCs w:val="22"/>
          </w:rPr>
          <w:tab/>
        </w:r>
        <w:r w:rsidR="00EC7648" w:rsidRPr="00CD0585">
          <w:rPr>
            <w:rStyle w:val="Hyperlink"/>
          </w:rPr>
          <w:t>effects metrics for diphacinone</w:t>
        </w:r>
        <w:r w:rsidR="00EC7648">
          <w:rPr>
            <w:webHidden/>
          </w:rPr>
          <w:tab/>
        </w:r>
        <w:r w:rsidR="00EC7648">
          <w:rPr>
            <w:webHidden/>
          </w:rPr>
          <w:fldChar w:fldCharType="begin"/>
        </w:r>
        <w:r w:rsidR="00EC7648">
          <w:rPr>
            <w:webHidden/>
          </w:rPr>
          <w:instrText xml:space="preserve"> PAGEREF _Toc343007931 \h </w:instrText>
        </w:r>
        <w:r w:rsidR="00EC7648">
          <w:rPr>
            <w:webHidden/>
          </w:rPr>
        </w:r>
        <w:r w:rsidR="00EC7648">
          <w:rPr>
            <w:webHidden/>
          </w:rPr>
          <w:fldChar w:fldCharType="separate"/>
        </w:r>
        <w:r w:rsidR="00224BBB">
          <w:rPr>
            <w:webHidden/>
          </w:rPr>
          <w:t>36</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33" w:history="1">
        <w:r w:rsidR="00EC7648" w:rsidRPr="00CD0585">
          <w:rPr>
            <w:rStyle w:val="Hyperlink"/>
          </w:rPr>
          <w:t>4.3</w:t>
        </w:r>
        <w:r w:rsidR="00EC7648">
          <w:rPr>
            <w:rFonts w:asciiTheme="minorHAnsi" w:eastAsiaTheme="minorEastAsia" w:hAnsiTheme="minorHAnsi" w:cstheme="minorBidi"/>
            <w:caps w:val="0"/>
            <w:szCs w:val="22"/>
          </w:rPr>
          <w:tab/>
        </w:r>
        <w:r w:rsidR="00EC7648" w:rsidRPr="00CD0585">
          <w:rPr>
            <w:rStyle w:val="Hyperlink"/>
          </w:rPr>
          <w:t>oral Gavage versus Dietary Exposure studies</w:t>
        </w:r>
        <w:r w:rsidR="00EC7648">
          <w:rPr>
            <w:webHidden/>
          </w:rPr>
          <w:tab/>
        </w:r>
        <w:r w:rsidR="00EC7648">
          <w:rPr>
            <w:webHidden/>
          </w:rPr>
          <w:fldChar w:fldCharType="begin"/>
        </w:r>
        <w:r w:rsidR="00EC7648">
          <w:rPr>
            <w:webHidden/>
          </w:rPr>
          <w:instrText xml:space="preserve"> PAGEREF _Toc343007933 \h </w:instrText>
        </w:r>
        <w:r w:rsidR="00EC7648">
          <w:rPr>
            <w:webHidden/>
          </w:rPr>
        </w:r>
        <w:r w:rsidR="00EC7648">
          <w:rPr>
            <w:webHidden/>
          </w:rPr>
          <w:fldChar w:fldCharType="separate"/>
        </w:r>
        <w:r w:rsidR="00224BBB">
          <w:rPr>
            <w:webHidden/>
          </w:rPr>
          <w:t>37</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34" w:history="1">
        <w:r w:rsidR="00EC7648" w:rsidRPr="00CD0585">
          <w:rPr>
            <w:rStyle w:val="Hyperlink"/>
          </w:rPr>
          <w:t>5.0</w:t>
        </w:r>
        <w:r w:rsidR="00EC7648">
          <w:rPr>
            <w:rFonts w:asciiTheme="minorHAnsi" w:eastAsiaTheme="minorEastAsia" w:hAnsiTheme="minorHAnsi" w:cstheme="minorBidi"/>
            <w:b w:val="0"/>
            <w:bCs w:val="0"/>
            <w:caps w:val="0"/>
            <w:szCs w:val="22"/>
          </w:rPr>
          <w:tab/>
        </w:r>
        <w:r w:rsidR="00EC7648" w:rsidRPr="00CD0585">
          <w:rPr>
            <w:rStyle w:val="Hyperlink"/>
          </w:rPr>
          <w:t>risk Characterization</w:t>
        </w:r>
        <w:r w:rsidR="00EC7648">
          <w:rPr>
            <w:webHidden/>
          </w:rPr>
          <w:tab/>
        </w:r>
        <w:r w:rsidR="00EC7648">
          <w:rPr>
            <w:webHidden/>
          </w:rPr>
          <w:fldChar w:fldCharType="begin"/>
        </w:r>
        <w:r w:rsidR="00EC7648">
          <w:rPr>
            <w:webHidden/>
          </w:rPr>
          <w:instrText xml:space="preserve"> PAGEREF _Toc343007934 \h </w:instrText>
        </w:r>
        <w:r w:rsidR="00EC7648">
          <w:rPr>
            <w:webHidden/>
          </w:rPr>
        </w:r>
        <w:r w:rsidR="00EC7648">
          <w:rPr>
            <w:webHidden/>
          </w:rPr>
          <w:fldChar w:fldCharType="separate"/>
        </w:r>
        <w:r w:rsidR="00224BBB">
          <w:rPr>
            <w:webHidden/>
          </w:rPr>
          <w:t>39</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35" w:history="1">
        <w:r w:rsidR="00EC7648" w:rsidRPr="00CD0585">
          <w:rPr>
            <w:rStyle w:val="Hyperlink"/>
          </w:rPr>
          <w:t>5.1</w:t>
        </w:r>
        <w:r w:rsidR="00EC7648">
          <w:rPr>
            <w:rFonts w:asciiTheme="minorHAnsi" w:eastAsiaTheme="minorEastAsia" w:hAnsiTheme="minorHAnsi" w:cstheme="minorBidi"/>
            <w:caps w:val="0"/>
            <w:szCs w:val="22"/>
          </w:rPr>
          <w:tab/>
        </w:r>
        <w:r w:rsidR="00EC7648" w:rsidRPr="00CD0585">
          <w:rPr>
            <w:rStyle w:val="Hyperlink"/>
          </w:rPr>
          <w:t>Model Stability</w:t>
        </w:r>
        <w:r w:rsidR="00EC7648">
          <w:rPr>
            <w:webHidden/>
          </w:rPr>
          <w:tab/>
        </w:r>
        <w:r w:rsidR="00EC7648">
          <w:rPr>
            <w:webHidden/>
          </w:rPr>
          <w:fldChar w:fldCharType="begin"/>
        </w:r>
        <w:r w:rsidR="00EC7648">
          <w:rPr>
            <w:webHidden/>
          </w:rPr>
          <w:instrText xml:space="preserve"> PAGEREF _Toc343007935 \h </w:instrText>
        </w:r>
        <w:r w:rsidR="00EC7648">
          <w:rPr>
            <w:webHidden/>
          </w:rPr>
        </w:r>
        <w:r w:rsidR="00EC7648">
          <w:rPr>
            <w:webHidden/>
          </w:rPr>
          <w:fldChar w:fldCharType="separate"/>
        </w:r>
        <w:r w:rsidR="00224BBB">
          <w:rPr>
            <w:webHidden/>
          </w:rPr>
          <w:t>39</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36" w:history="1">
        <w:r w:rsidR="00EC7648" w:rsidRPr="00CD0585">
          <w:rPr>
            <w:rStyle w:val="Hyperlink"/>
          </w:rPr>
          <w:t>5.2</w:t>
        </w:r>
        <w:r w:rsidR="00EC7648">
          <w:rPr>
            <w:rFonts w:asciiTheme="minorHAnsi" w:eastAsiaTheme="minorEastAsia" w:hAnsiTheme="minorHAnsi" w:cstheme="minorBidi"/>
            <w:caps w:val="0"/>
            <w:szCs w:val="22"/>
          </w:rPr>
          <w:tab/>
        </w:r>
        <w:r w:rsidR="00EC7648" w:rsidRPr="00CD0585">
          <w:rPr>
            <w:rStyle w:val="Hyperlink"/>
          </w:rPr>
          <w:t>Model Results for Brodifacoum</w:t>
        </w:r>
        <w:r w:rsidR="00EC7648">
          <w:rPr>
            <w:webHidden/>
          </w:rPr>
          <w:tab/>
        </w:r>
        <w:r w:rsidR="00EC7648">
          <w:rPr>
            <w:webHidden/>
          </w:rPr>
          <w:fldChar w:fldCharType="begin"/>
        </w:r>
        <w:r w:rsidR="00EC7648">
          <w:rPr>
            <w:webHidden/>
          </w:rPr>
          <w:instrText xml:space="preserve"> PAGEREF _Toc343007936 \h </w:instrText>
        </w:r>
        <w:r w:rsidR="00EC7648">
          <w:rPr>
            <w:webHidden/>
          </w:rPr>
        </w:r>
        <w:r w:rsidR="00EC7648">
          <w:rPr>
            <w:webHidden/>
          </w:rPr>
          <w:fldChar w:fldCharType="separate"/>
        </w:r>
        <w:r w:rsidR="00224BBB">
          <w:rPr>
            <w:webHidden/>
          </w:rPr>
          <w:t>41</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37" w:history="1">
        <w:r w:rsidR="00EC7648" w:rsidRPr="00CD0585">
          <w:rPr>
            <w:rStyle w:val="Hyperlink"/>
          </w:rPr>
          <w:t>5.2.1</w:t>
        </w:r>
        <w:r w:rsidR="00EC7648">
          <w:rPr>
            <w:rFonts w:asciiTheme="minorHAnsi" w:eastAsiaTheme="minorEastAsia" w:hAnsiTheme="minorHAnsi" w:cstheme="minorBidi"/>
            <w:szCs w:val="22"/>
          </w:rPr>
          <w:tab/>
        </w:r>
        <w:r w:rsidR="00EC7648" w:rsidRPr="00CD0585">
          <w:rPr>
            <w:rStyle w:val="Hyperlink"/>
          </w:rPr>
          <w:t>Initial Application Date</w:t>
        </w:r>
        <w:r w:rsidR="00EC7648">
          <w:rPr>
            <w:webHidden/>
          </w:rPr>
          <w:tab/>
        </w:r>
        <w:r w:rsidR="00EC7648">
          <w:rPr>
            <w:webHidden/>
          </w:rPr>
          <w:fldChar w:fldCharType="begin"/>
        </w:r>
        <w:r w:rsidR="00EC7648">
          <w:rPr>
            <w:webHidden/>
          </w:rPr>
          <w:instrText xml:space="preserve"> PAGEREF _Toc343007937 \h </w:instrText>
        </w:r>
        <w:r w:rsidR="00EC7648">
          <w:rPr>
            <w:webHidden/>
          </w:rPr>
        </w:r>
        <w:r w:rsidR="00EC7648">
          <w:rPr>
            <w:webHidden/>
          </w:rPr>
          <w:fldChar w:fldCharType="separate"/>
        </w:r>
        <w:r w:rsidR="00224BBB">
          <w:rPr>
            <w:webHidden/>
          </w:rPr>
          <w:t>41</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38" w:history="1">
        <w:r w:rsidR="00EC7648" w:rsidRPr="00CD0585">
          <w:rPr>
            <w:rStyle w:val="Hyperlink"/>
          </w:rPr>
          <w:t>5.2.2</w:t>
        </w:r>
        <w:r w:rsidR="00EC7648">
          <w:rPr>
            <w:rFonts w:asciiTheme="minorHAnsi" w:eastAsiaTheme="minorEastAsia" w:hAnsiTheme="minorHAnsi" w:cstheme="minorBidi"/>
            <w:szCs w:val="22"/>
          </w:rPr>
          <w:tab/>
        </w:r>
        <w:r w:rsidR="00EC7648" w:rsidRPr="00CD0585">
          <w:rPr>
            <w:rStyle w:val="Hyperlink"/>
          </w:rPr>
          <w:t>Proportion of Gulls Removed From SFI by Hazing</w:t>
        </w:r>
        <w:r w:rsidR="00EC7648">
          <w:rPr>
            <w:webHidden/>
          </w:rPr>
          <w:tab/>
        </w:r>
        <w:r w:rsidR="00EC7648">
          <w:rPr>
            <w:webHidden/>
          </w:rPr>
          <w:fldChar w:fldCharType="begin"/>
        </w:r>
        <w:r w:rsidR="00EC7648">
          <w:rPr>
            <w:webHidden/>
          </w:rPr>
          <w:instrText xml:space="preserve"> PAGEREF _Toc343007938 \h </w:instrText>
        </w:r>
        <w:r w:rsidR="00EC7648">
          <w:rPr>
            <w:webHidden/>
          </w:rPr>
        </w:r>
        <w:r w:rsidR="00EC7648">
          <w:rPr>
            <w:webHidden/>
          </w:rPr>
          <w:fldChar w:fldCharType="separate"/>
        </w:r>
        <w:r w:rsidR="00224BBB">
          <w:rPr>
            <w:webHidden/>
          </w:rPr>
          <w:t>43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39" w:history="1">
        <w:r w:rsidR="00EC7648" w:rsidRPr="00CD0585">
          <w:rPr>
            <w:rStyle w:val="Hyperlink"/>
          </w:rPr>
          <w:t>5.2.3</w:t>
        </w:r>
        <w:r w:rsidR="00EC7648">
          <w:rPr>
            <w:rFonts w:asciiTheme="minorHAnsi" w:eastAsiaTheme="minorEastAsia" w:hAnsiTheme="minorHAnsi" w:cstheme="minorBidi"/>
            <w:szCs w:val="22"/>
          </w:rPr>
          <w:tab/>
        </w:r>
        <w:r w:rsidR="00EC7648" w:rsidRPr="00CD0585">
          <w:rPr>
            <w:rStyle w:val="Hyperlink"/>
          </w:rPr>
          <w:t>Time to Significant Rainfall Event</w:t>
        </w:r>
        <w:r w:rsidR="00EC7648">
          <w:rPr>
            <w:webHidden/>
          </w:rPr>
          <w:tab/>
        </w:r>
        <w:r w:rsidR="00EC7648">
          <w:rPr>
            <w:webHidden/>
          </w:rPr>
          <w:fldChar w:fldCharType="begin"/>
        </w:r>
        <w:r w:rsidR="00EC7648">
          <w:rPr>
            <w:webHidden/>
          </w:rPr>
          <w:instrText xml:space="preserve"> PAGEREF _Toc343007939 \h </w:instrText>
        </w:r>
        <w:r w:rsidR="00EC7648">
          <w:rPr>
            <w:webHidden/>
          </w:rPr>
        </w:r>
        <w:r w:rsidR="00EC7648">
          <w:rPr>
            <w:webHidden/>
          </w:rPr>
          <w:fldChar w:fldCharType="separate"/>
        </w:r>
        <w:r w:rsidR="00224BBB">
          <w:rPr>
            <w:webHidden/>
          </w:rPr>
          <w:t>45</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0" w:history="1">
        <w:r w:rsidR="00EC7648" w:rsidRPr="00CD0585">
          <w:rPr>
            <w:rStyle w:val="Hyperlink"/>
          </w:rPr>
          <w:t>5.2.4</w:t>
        </w:r>
        <w:r w:rsidR="00EC7648">
          <w:rPr>
            <w:rFonts w:asciiTheme="minorHAnsi" w:eastAsiaTheme="minorEastAsia" w:hAnsiTheme="minorHAnsi" w:cstheme="minorBidi"/>
            <w:szCs w:val="22"/>
          </w:rPr>
          <w:tab/>
        </w:r>
        <w:r w:rsidR="00EC7648" w:rsidRPr="00CD0585">
          <w:rPr>
            <w:rStyle w:val="Hyperlink"/>
          </w:rPr>
          <w:t>Number of Applications</w:t>
        </w:r>
        <w:r w:rsidR="00EC7648">
          <w:rPr>
            <w:webHidden/>
          </w:rPr>
          <w:tab/>
        </w:r>
        <w:r w:rsidR="00EC7648">
          <w:rPr>
            <w:webHidden/>
          </w:rPr>
          <w:fldChar w:fldCharType="begin"/>
        </w:r>
        <w:r w:rsidR="00EC7648">
          <w:rPr>
            <w:webHidden/>
          </w:rPr>
          <w:instrText xml:space="preserve"> PAGEREF _Toc343007940 \h </w:instrText>
        </w:r>
        <w:r w:rsidR="00EC7648">
          <w:rPr>
            <w:webHidden/>
          </w:rPr>
        </w:r>
        <w:r w:rsidR="00EC7648">
          <w:rPr>
            <w:webHidden/>
          </w:rPr>
          <w:fldChar w:fldCharType="separate"/>
        </w:r>
        <w:r w:rsidR="00224BBB">
          <w:rPr>
            <w:webHidden/>
          </w:rPr>
          <w:t>46</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1" w:history="1">
        <w:r w:rsidR="00EC7648" w:rsidRPr="00CD0585">
          <w:rPr>
            <w:rStyle w:val="Hyperlink"/>
          </w:rPr>
          <w:t>5.2.5</w:t>
        </w:r>
        <w:r w:rsidR="00EC7648">
          <w:rPr>
            <w:rFonts w:asciiTheme="minorHAnsi" w:eastAsiaTheme="minorEastAsia" w:hAnsiTheme="minorHAnsi" w:cstheme="minorBidi"/>
            <w:szCs w:val="22"/>
          </w:rPr>
          <w:tab/>
        </w:r>
        <w:r w:rsidR="00EC7648" w:rsidRPr="00CD0585">
          <w:rPr>
            <w:rStyle w:val="Hyperlink"/>
          </w:rPr>
          <w:t>Removal of Dead Mice</w:t>
        </w:r>
        <w:r w:rsidR="00EC7648">
          <w:rPr>
            <w:webHidden/>
          </w:rPr>
          <w:tab/>
        </w:r>
        <w:r w:rsidR="00EC7648">
          <w:rPr>
            <w:webHidden/>
          </w:rPr>
          <w:fldChar w:fldCharType="begin"/>
        </w:r>
        <w:r w:rsidR="00EC7648">
          <w:rPr>
            <w:webHidden/>
          </w:rPr>
          <w:instrText xml:space="preserve"> PAGEREF _Toc343007941 \h </w:instrText>
        </w:r>
        <w:r w:rsidR="00EC7648">
          <w:rPr>
            <w:webHidden/>
          </w:rPr>
        </w:r>
        <w:r w:rsidR="00EC7648">
          <w:rPr>
            <w:webHidden/>
          </w:rPr>
          <w:fldChar w:fldCharType="separate"/>
        </w:r>
        <w:r w:rsidR="00224BBB">
          <w:rPr>
            <w:webHidden/>
          </w:rPr>
          <w:t>48</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42" w:history="1">
        <w:r w:rsidR="00EC7648" w:rsidRPr="00CD0585">
          <w:rPr>
            <w:rStyle w:val="Hyperlink"/>
          </w:rPr>
          <w:t>5.3</w:t>
        </w:r>
        <w:r w:rsidR="00EC7648">
          <w:rPr>
            <w:rFonts w:asciiTheme="minorHAnsi" w:eastAsiaTheme="minorEastAsia" w:hAnsiTheme="minorHAnsi" w:cstheme="minorBidi"/>
            <w:caps w:val="0"/>
            <w:szCs w:val="22"/>
          </w:rPr>
          <w:tab/>
        </w:r>
        <w:r w:rsidR="00EC7648" w:rsidRPr="00CD0585">
          <w:rPr>
            <w:rStyle w:val="Hyperlink"/>
          </w:rPr>
          <w:t>Model Results for Diphacinone</w:t>
        </w:r>
        <w:r w:rsidR="00EC7648">
          <w:rPr>
            <w:webHidden/>
          </w:rPr>
          <w:tab/>
        </w:r>
        <w:r w:rsidR="00EC7648">
          <w:rPr>
            <w:webHidden/>
          </w:rPr>
          <w:fldChar w:fldCharType="begin"/>
        </w:r>
        <w:r w:rsidR="00EC7648">
          <w:rPr>
            <w:webHidden/>
          </w:rPr>
          <w:instrText xml:space="preserve"> PAGEREF _Toc343007942 \h </w:instrText>
        </w:r>
        <w:r w:rsidR="00EC7648">
          <w:rPr>
            <w:webHidden/>
          </w:rPr>
        </w:r>
        <w:r w:rsidR="00EC7648">
          <w:rPr>
            <w:webHidden/>
          </w:rPr>
          <w:fldChar w:fldCharType="separate"/>
        </w:r>
        <w:r w:rsidR="00224BBB">
          <w:rPr>
            <w:webHidden/>
          </w:rPr>
          <w:t>49</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3" w:history="1">
        <w:r w:rsidR="00EC7648" w:rsidRPr="00CD0585">
          <w:rPr>
            <w:rStyle w:val="Hyperlink"/>
          </w:rPr>
          <w:t>5.3.1</w:t>
        </w:r>
        <w:r w:rsidR="00EC7648">
          <w:rPr>
            <w:rFonts w:asciiTheme="minorHAnsi" w:eastAsiaTheme="minorEastAsia" w:hAnsiTheme="minorHAnsi" w:cstheme="minorBidi"/>
            <w:szCs w:val="22"/>
          </w:rPr>
          <w:tab/>
        </w:r>
        <w:r w:rsidR="00EC7648" w:rsidRPr="00CD0585">
          <w:rPr>
            <w:rStyle w:val="Hyperlink"/>
          </w:rPr>
          <w:t>Initial Application Date</w:t>
        </w:r>
        <w:r w:rsidR="00EC7648">
          <w:rPr>
            <w:webHidden/>
          </w:rPr>
          <w:tab/>
        </w:r>
        <w:r w:rsidR="00EC7648">
          <w:rPr>
            <w:webHidden/>
          </w:rPr>
          <w:fldChar w:fldCharType="begin"/>
        </w:r>
        <w:r w:rsidR="00EC7648">
          <w:rPr>
            <w:webHidden/>
          </w:rPr>
          <w:instrText xml:space="preserve"> PAGEREF _Toc343007943 \h </w:instrText>
        </w:r>
        <w:r w:rsidR="00EC7648">
          <w:rPr>
            <w:webHidden/>
          </w:rPr>
        </w:r>
        <w:r w:rsidR="00EC7648">
          <w:rPr>
            <w:webHidden/>
          </w:rPr>
          <w:fldChar w:fldCharType="separate"/>
        </w:r>
        <w:r w:rsidR="00224BBB">
          <w:rPr>
            <w:webHidden/>
          </w:rPr>
          <w:t>49</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4" w:history="1">
        <w:r w:rsidR="00EC7648" w:rsidRPr="00CD0585">
          <w:rPr>
            <w:rStyle w:val="Hyperlink"/>
          </w:rPr>
          <w:t>5.3.2</w:t>
        </w:r>
        <w:r w:rsidR="00EC7648">
          <w:rPr>
            <w:rFonts w:asciiTheme="minorHAnsi" w:eastAsiaTheme="minorEastAsia" w:hAnsiTheme="minorHAnsi" w:cstheme="minorBidi"/>
            <w:szCs w:val="22"/>
          </w:rPr>
          <w:tab/>
        </w:r>
        <w:r w:rsidR="00EC7648" w:rsidRPr="00CD0585">
          <w:rPr>
            <w:rStyle w:val="Hyperlink"/>
          </w:rPr>
          <w:t>Proportion of Gulls Removed From SFI by Hazing</w:t>
        </w:r>
        <w:r w:rsidR="00EC7648">
          <w:rPr>
            <w:webHidden/>
          </w:rPr>
          <w:tab/>
        </w:r>
        <w:r w:rsidR="00EC7648">
          <w:rPr>
            <w:webHidden/>
          </w:rPr>
          <w:fldChar w:fldCharType="begin"/>
        </w:r>
        <w:r w:rsidR="00EC7648">
          <w:rPr>
            <w:webHidden/>
          </w:rPr>
          <w:instrText xml:space="preserve"> PAGEREF _Toc343007944 \h </w:instrText>
        </w:r>
        <w:r w:rsidR="00EC7648">
          <w:rPr>
            <w:webHidden/>
          </w:rPr>
        </w:r>
        <w:r w:rsidR="00EC7648">
          <w:rPr>
            <w:webHidden/>
          </w:rPr>
          <w:fldChar w:fldCharType="separate"/>
        </w:r>
        <w:r w:rsidR="00224BBB">
          <w:rPr>
            <w:webHidden/>
          </w:rPr>
          <w:t>51</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5" w:history="1">
        <w:r w:rsidR="00EC7648" w:rsidRPr="00CD0585">
          <w:rPr>
            <w:rStyle w:val="Hyperlink"/>
          </w:rPr>
          <w:t>5.3.3</w:t>
        </w:r>
        <w:r w:rsidR="00EC7648">
          <w:rPr>
            <w:rFonts w:asciiTheme="minorHAnsi" w:eastAsiaTheme="minorEastAsia" w:hAnsiTheme="minorHAnsi" w:cstheme="minorBidi"/>
            <w:szCs w:val="22"/>
          </w:rPr>
          <w:tab/>
        </w:r>
        <w:r w:rsidR="00EC7648" w:rsidRPr="00CD0585">
          <w:rPr>
            <w:rStyle w:val="Hyperlink"/>
          </w:rPr>
          <w:t>Time to Significant Rainfall Event</w:t>
        </w:r>
        <w:r w:rsidR="00EC7648">
          <w:rPr>
            <w:webHidden/>
          </w:rPr>
          <w:tab/>
        </w:r>
        <w:r w:rsidR="00EC7648">
          <w:rPr>
            <w:webHidden/>
          </w:rPr>
          <w:fldChar w:fldCharType="begin"/>
        </w:r>
        <w:r w:rsidR="00EC7648">
          <w:rPr>
            <w:webHidden/>
          </w:rPr>
          <w:instrText xml:space="preserve"> PAGEREF _Toc343007945 \h </w:instrText>
        </w:r>
        <w:r w:rsidR="00EC7648">
          <w:rPr>
            <w:webHidden/>
          </w:rPr>
        </w:r>
        <w:r w:rsidR="00EC7648">
          <w:rPr>
            <w:webHidden/>
          </w:rPr>
          <w:fldChar w:fldCharType="separate"/>
        </w:r>
        <w:r w:rsidR="00224BBB">
          <w:rPr>
            <w:webHidden/>
          </w:rPr>
          <w:t>53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6" w:history="1">
        <w:r w:rsidR="00EC7648" w:rsidRPr="00CD0585">
          <w:rPr>
            <w:rStyle w:val="Hyperlink"/>
          </w:rPr>
          <w:t>5.3.4</w:t>
        </w:r>
        <w:r w:rsidR="00EC7648">
          <w:rPr>
            <w:rFonts w:asciiTheme="minorHAnsi" w:eastAsiaTheme="minorEastAsia" w:hAnsiTheme="minorHAnsi" w:cstheme="minorBidi"/>
            <w:szCs w:val="22"/>
          </w:rPr>
          <w:tab/>
        </w:r>
        <w:r w:rsidR="00EC7648" w:rsidRPr="00CD0585">
          <w:rPr>
            <w:rStyle w:val="Hyperlink"/>
          </w:rPr>
          <w:t>Number of Applications</w:t>
        </w:r>
        <w:r w:rsidR="00EC7648">
          <w:rPr>
            <w:webHidden/>
          </w:rPr>
          <w:tab/>
        </w:r>
        <w:r w:rsidR="00EC7648">
          <w:rPr>
            <w:webHidden/>
          </w:rPr>
          <w:fldChar w:fldCharType="begin"/>
        </w:r>
        <w:r w:rsidR="00EC7648">
          <w:rPr>
            <w:webHidden/>
          </w:rPr>
          <w:instrText xml:space="preserve"> PAGEREF _Toc343007946 \h </w:instrText>
        </w:r>
        <w:r w:rsidR="00EC7648">
          <w:rPr>
            <w:webHidden/>
          </w:rPr>
        </w:r>
        <w:r w:rsidR="00EC7648">
          <w:rPr>
            <w:webHidden/>
          </w:rPr>
          <w:fldChar w:fldCharType="separate"/>
        </w:r>
        <w:r w:rsidR="00224BBB">
          <w:rPr>
            <w:webHidden/>
          </w:rPr>
          <w:t>54</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7" w:history="1">
        <w:r w:rsidR="00EC7648" w:rsidRPr="00CD0585">
          <w:rPr>
            <w:rStyle w:val="Hyperlink"/>
          </w:rPr>
          <w:t>5.3.5</w:t>
        </w:r>
        <w:r w:rsidR="00EC7648">
          <w:rPr>
            <w:rFonts w:asciiTheme="minorHAnsi" w:eastAsiaTheme="minorEastAsia" w:hAnsiTheme="minorHAnsi" w:cstheme="minorBidi"/>
            <w:szCs w:val="22"/>
          </w:rPr>
          <w:tab/>
        </w:r>
        <w:r w:rsidR="00EC7648" w:rsidRPr="00CD0585">
          <w:rPr>
            <w:rStyle w:val="Hyperlink"/>
          </w:rPr>
          <w:t>Removal of Dead Mice</w:t>
        </w:r>
        <w:r w:rsidR="00EC7648">
          <w:rPr>
            <w:webHidden/>
          </w:rPr>
          <w:tab/>
        </w:r>
        <w:r w:rsidR="00EC7648">
          <w:rPr>
            <w:webHidden/>
          </w:rPr>
          <w:fldChar w:fldCharType="begin"/>
        </w:r>
        <w:r w:rsidR="00EC7648">
          <w:rPr>
            <w:webHidden/>
          </w:rPr>
          <w:instrText xml:space="preserve"> PAGEREF _Toc343007947 \h </w:instrText>
        </w:r>
        <w:r w:rsidR="00EC7648">
          <w:rPr>
            <w:webHidden/>
          </w:rPr>
        </w:r>
        <w:r w:rsidR="00EC7648">
          <w:rPr>
            <w:webHidden/>
          </w:rPr>
          <w:fldChar w:fldCharType="separate"/>
        </w:r>
        <w:r w:rsidR="00224BBB">
          <w:rPr>
            <w:webHidden/>
          </w:rPr>
          <w:t>56</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48" w:history="1">
        <w:r w:rsidR="00EC7648" w:rsidRPr="00CD0585">
          <w:rPr>
            <w:rStyle w:val="Hyperlink"/>
          </w:rPr>
          <w:t>5.4</w:t>
        </w:r>
        <w:r w:rsidR="00EC7648">
          <w:rPr>
            <w:rFonts w:asciiTheme="minorHAnsi" w:eastAsiaTheme="minorEastAsia" w:hAnsiTheme="minorHAnsi" w:cstheme="minorBidi"/>
            <w:caps w:val="0"/>
            <w:szCs w:val="22"/>
          </w:rPr>
          <w:tab/>
        </w:r>
        <w:r w:rsidR="00EC7648" w:rsidRPr="00CD0585">
          <w:rPr>
            <w:rStyle w:val="Hyperlink"/>
          </w:rPr>
          <w:t>Sensitivity Analysis</w:t>
        </w:r>
        <w:r w:rsidR="00EC7648">
          <w:rPr>
            <w:webHidden/>
          </w:rPr>
          <w:tab/>
        </w:r>
        <w:r w:rsidR="00EC7648">
          <w:rPr>
            <w:webHidden/>
          </w:rPr>
          <w:fldChar w:fldCharType="begin"/>
        </w:r>
        <w:r w:rsidR="00EC7648">
          <w:rPr>
            <w:webHidden/>
          </w:rPr>
          <w:instrText xml:space="preserve"> PAGEREF _Toc343007948 \h </w:instrText>
        </w:r>
        <w:r w:rsidR="00EC7648">
          <w:rPr>
            <w:webHidden/>
          </w:rPr>
        </w:r>
        <w:r w:rsidR="00EC7648">
          <w:rPr>
            <w:webHidden/>
          </w:rPr>
          <w:fldChar w:fldCharType="separate"/>
        </w:r>
        <w:r w:rsidR="00224BBB">
          <w:rPr>
            <w:webHidden/>
          </w:rPr>
          <w:t>57</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49" w:history="1">
        <w:r w:rsidR="00EC7648" w:rsidRPr="00CD0585">
          <w:rPr>
            <w:rStyle w:val="Hyperlink"/>
          </w:rPr>
          <w:t>5.4.1</w:t>
        </w:r>
        <w:r w:rsidR="00EC7648">
          <w:rPr>
            <w:rFonts w:asciiTheme="minorHAnsi" w:eastAsiaTheme="minorEastAsia" w:hAnsiTheme="minorHAnsi" w:cstheme="minorBidi"/>
            <w:szCs w:val="22"/>
          </w:rPr>
          <w:tab/>
        </w:r>
        <w:r w:rsidR="00EC7648" w:rsidRPr="00CD0585">
          <w:rPr>
            <w:rStyle w:val="Hyperlink"/>
          </w:rPr>
          <w:t>Brodifacoum</w:t>
        </w:r>
        <w:r w:rsidR="00EC7648">
          <w:rPr>
            <w:webHidden/>
          </w:rPr>
          <w:tab/>
        </w:r>
        <w:r w:rsidR="00EC7648">
          <w:rPr>
            <w:webHidden/>
          </w:rPr>
          <w:fldChar w:fldCharType="begin"/>
        </w:r>
        <w:r w:rsidR="00EC7648">
          <w:rPr>
            <w:webHidden/>
          </w:rPr>
          <w:instrText xml:space="preserve"> PAGEREF _Toc343007949 \h </w:instrText>
        </w:r>
        <w:r w:rsidR="00EC7648">
          <w:rPr>
            <w:webHidden/>
          </w:rPr>
        </w:r>
        <w:r w:rsidR="00EC7648">
          <w:rPr>
            <w:webHidden/>
          </w:rPr>
          <w:fldChar w:fldCharType="separate"/>
        </w:r>
        <w:r w:rsidR="00224BBB">
          <w:rPr>
            <w:webHidden/>
          </w:rPr>
          <w:t>59</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50" w:history="1">
        <w:r w:rsidR="00EC7648" w:rsidRPr="00CD0585">
          <w:rPr>
            <w:rStyle w:val="Hyperlink"/>
          </w:rPr>
          <w:t>5.4.2</w:t>
        </w:r>
        <w:r w:rsidR="00EC7648">
          <w:rPr>
            <w:rFonts w:asciiTheme="minorHAnsi" w:eastAsiaTheme="minorEastAsia" w:hAnsiTheme="minorHAnsi" w:cstheme="minorBidi"/>
            <w:szCs w:val="22"/>
          </w:rPr>
          <w:tab/>
        </w:r>
        <w:r w:rsidR="00EC7648" w:rsidRPr="00CD0585">
          <w:rPr>
            <w:rStyle w:val="Hyperlink"/>
          </w:rPr>
          <w:t>Diphacinone</w:t>
        </w:r>
        <w:r w:rsidR="00EC7648">
          <w:rPr>
            <w:webHidden/>
          </w:rPr>
          <w:tab/>
        </w:r>
        <w:r w:rsidR="00EC7648">
          <w:rPr>
            <w:webHidden/>
          </w:rPr>
          <w:fldChar w:fldCharType="begin"/>
        </w:r>
        <w:r w:rsidR="00EC7648">
          <w:rPr>
            <w:webHidden/>
          </w:rPr>
          <w:instrText xml:space="preserve"> PAGEREF _Toc343007950 \h </w:instrText>
        </w:r>
        <w:r w:rsidR="00EC7648">
          <w:rPr>
            <w:webHidden/>
          </w:rPr>
        </w:r>
        <w:r w:rsidR="00EC7648">
          <w:rPr>
            <w:webHidden/>
          </w:rPr>
          <w:fldChar w:fldCharType="separate"/>
        </w:r>
        <w:r w:rsidR="00224BBB">
          <w:rPr>
            <w:webHidden/>
          </w:rPr>
          <w:t>63</w:t>
        </w:r>
        <w:r w:rsidR="00EC7648">
          <w:rPr>
            <w:webHidden/>
          </w:rPr>
          <w:fldChar w:fldCharType="end"/>
        </w:r>
      </w:hyperlink>
    </w:p>
    <w:p w:rsidR="00EC7648" w:rsidRDefault="00CE3381">
      <w:pPr>
        <w:pStyle w:val="TOC3"/>
        <w:tabs>
          <w:tab w:val="left" w:pos="1350"/>
        </w:tabs>
        <w:rPr>
          <w:rFonts w:asciiTheme="minorHAnsi" w:eastAsiaTheme="minorEastAsia" w:hAnsiTheme="minorHAnsi" w:cstheme="minorBidi"/>
          <w:szCs w:val="22"/>
        </w:rPr>
      </w:pPr>
      <w:hyperlink w:anchor="_Toc343007951" w:history="1">
        <w:r w:rsidR="00EC7648" w:rsidRPr="00CD0585">
          <w:rPr>
            <w:rStyle w:val="Hyperlink"/>
          </w:rPr>
          <w:t>5.4.3</w:t>
        </w:r>
        <w:r w:rsidR="00EC7648">
          <w:rPr>
            <w:rFonts w:asciiTheme="minorHAnsi" w:eastAsiaTheme="minorEastAsia" w:hAnsiTheme="minorHAnsi" w:cstheme="minorBidi"/>
            <w:szCs w:val="22"/>
          </w:rPr>
          <w:tab/>
        </w:r>
        <w:r w:rsidR="00EC7648" w:rsidRPr="00CD0585">
          <w:rPr>
            <w:rStyle w:val="Hyperlink"/>
          </w:rPr>
          <w:t>Data Gaps</w:t>
        </w:r>
        <w:r w:rsidR="00EC7648">
          <w:rPr>
            <w:webHidden/>
          </w:rPr>
          <w:tab/>
        </w:r>
        <w:r w:rsidR="00EC7648">
          <w:rPr>
            <w:webHidden/>
          </w:rPr>
          <w:fldChar w:fldCharType="begin"/>
        </w:r>
        <w:r w:rsidR="00EC7648">
          <w:rPr>
            <w:webHidden/>
          </w:rPr>
          <w:instrText xml:space="preserve"> PAGEREF _Toc343007951 \h </w:instrText>
        </w:r>
        <w:r w:rsidR="00EC7648">
          <w:rPr>
            <w:webHidden/>
          </w:rPr>
        </w:r>
        <w:r w:rsidR="00EC7648">
          <w:rPr>
            <w:webHidden/>
          </w:rPr>
          <w:fldChar w:fldCharType="separate"/>
        </w:r>
        <w:r w:rsidR="00224BBB">
          <w:rPr>
            <w:webHidden/>
          </w:rPr>
          <w:t>66</w:t>
        </w:r>
        <w:r w:rsidR="00EC7648">
          <w:rPr>
            <w:webHidden/>
          </w:rPr>
          <w:fldChar w:fldCharType="end"/>
        </w:r>
      </w:hyperlink>
    </w:p>
    <w:p w:rsidR="00EC7648" w:rsidRDefault="00CE3381">
      <w:pPr>
        <w:pStyle w:val="TOC2"/>
        <w:rPr>
          <w:rFonts w:asciiTheme="minorHAnsi" w:eastAsiaTheme="minorEastAsia" w:hAnsiTheme="minorHAnsi" w:cstheme="minorBidi"/>
          <w:caps w:val="0"/>
          <w:szCs w:val="22"/>
        </w:rPr>
      </w:pPr>
      <w:hyperlink w:anchor="_Toc343007952" w:history="1">
        <w:r w:rsidR="00EC7648" w:rsidRPr="00CD0585">
          <w:rPr>
            <w:rStyle w:val="Hyperlink"/>
          </w:rPr>
          <w:t>5.5</w:t>
        </w:r>
        <w:r w:rsidR="00EC7648">
          <w:rPr>
            <w:rFonts w:asciiTheme="minorHAnsi" w:eastAsiaTheme="minorEastAsia" w:hAnsiTheme="minorHAnsi" w:cstheme="minorBidi"/>
            <w:caps w:val="0"/>
            <w:szCs w:val="22"/>
          </w:rPr>
          <w:tab/>
        </w:r>
        <w:r w:rsidR="00EC7648" w:rsidRPr="00CD0585">
          <w:rPr>
            <w:rStyle w:val="Hyperlink"/>
          </w:rPr>
          <w:t>Comparison of Effects of Brodifacoum and Diphacinone on Western Gull Mortality</w:t>
        </w:r>
        <w:r w:rsidR="00EC7648">
          <w:rPr>
            <w:webHidden/>
          </w:rPr>
          <w:tab/>
        </w:r>
        <w:r w:rsidR="00EC7648">
          <w:rPr>
            <w:webHidden/>
          </w:rPr>
          <w:fldChar w:fldCharType="begin"/>
        </w:r>
        <w:r w:rsidR="00EC7648">
          <w:rPr>
            <w:webHidden/>
          </w:rPr>
          <w:instrText xml:space="preserve"> PAGEREF _Toc343007952 \h </w:instrText>
        </w:r>
        <w:r w:rsidR="00EC7648">
          <w:rPr>
            <w:webHidden/>
          </w:rPr>
        </w:r>
        <w:r w:rsidR="00EC7648">
          <w:rPr>
            <w:webHidden/>
          </w:rPr>
          <w:fldChar w:fldCharType="separate"/>
        </w:r>
        <w:r w:rsidR="00224BBB">
          <w:rPr>
            <w:webHidden/>
          </w:rPr>
          <w:t>67</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3" w:history="1">
        <w:r w:rsidR="00EC7648" w:rsidRPr="00CD0585">
          <w:rPr>
            <w:rStyle w:val="Hyperlink"/>
          </w:rPr>
          <w:t>6.0</w:t>
        </w:r>
        <w:r w:rsidR="00EC7648">
          <w:rPr>
            <w:rFonts w:asciiTheme="minorHAnsi" w:eastAsiaTheme="minorEastAsia" w:hAnsiTheme="minorHAnsi" w:cstheme="minorBidi"/>
            <w:b w:val="0"/>
            <w:bCs w:val="0"/>
            <w:caps w:val="0"/>
            <w:szCs w:val="22"/>
          </w:rPr>
          <w:tab/>
        </w:r>
        <w:r w:rsidR="00EC7648" w:rsidRPr="00CD0585">
          <w:rPr>
            <w:rStyle w:val="Hyperlink"/>
          </w:rPr>
          <w:t>CONCLUSIONS</w:t>
        </w:r>
        <w:r w:rsidR="00EC7648">
          <w:rPr>
            <w:webHidden/>
          </w:rPr>
          <w:tab/>
        </w:r>
        <w:r w:rsidR="00EC7648">
          <w:rPr>
            <w:webHidden/>
          </w:rPr>
          <w:fldChar w:fldCharType="begin"/>
        </w:r>
        <w:r w:rsidR="00EC7648">
          <w:rPr>
            <w:webHidden/>
          </w:rPr>
          <w:instrText xml:space="preserve"> PAGEREF _Toc343007953 \h </w:instrText>
        </w:r>
        <w:r w:rsidR="00EC7648">
          <w:rPr>
            <w:webHidden/>
          </w:rPr>
        </w:r>
        <w:r w:rsidR="00EC7648">
          <w:rPr>
            <w:webHidden/>
          </w:rPr>
          <w:fldChar w:fldCharType="separate"/>
        </w:r>
        <w:r w:rsidR="00224BBB">
          <w:rPr>
            <w:webHidden/>
          </w:rPr>
          <w:t>70</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4" w:history="1">
        <w:r w:rsidR="00EC7648" w:rsidRPr="00CD0585">
          <w:rPr>
            <w:rStyle w:val="Hyperlink"/>
          </w:rPr>
          <w:t>7.0</w:t>
        </w:r>
        <w:r w:rsidR="00EC7648">
          <w:rPr>
            <w:rFonts w:asciiTheme="minorHAnsi" w:eastAsiaTheme="minorEastAsia" w:hAnsiTheme="minorHAnsi" w:cstheme="minorBidi"/>
            <w:b w:val="0"/>
            <w:bCs w:val="0"/>
            <w:caps w:val="0"/>
            <w:szCs w:val="22"/>
          </w:rPr>
          <w:tab/>
        </w:r>
        <w:r w:rsidR="00EC7648" w:rsidRPr="00CD0585">
          <w:rPr>
            <w:rStyle w:val="Hyperlink"/>
          </w:rPr>
          <w:t>REFERENCES</w:t>
        </w:r>
        <w:r w:rsidR="00EC7648">
          <w:rPr>
            <w:webHidden/>
          </w:rPr>
          <w:tab/>
        </w:r>
        <w:r w:rsidR="00EC7648">
          <w:rPr>
            <w:webHidden/>
          </w:rPr>
          <w:fldChar w:fldCharType="begin"/>
        </w:r>
        <w:r w:rsidR="00EC7648">
          <w:rPr>
            <w:webHidden/>
          </w:rPr>
          <w:instrText xml:space="preserve"> PAGEREF _Toc343007954 \h </w:instrText>
        </w:r>
        <w:r w:rsidR="00EC7648">
          <w:rPr>
            <w:webHidden/>
          </w:rPr>
        </w:r>
        <w:r w:rsidR="00EC7648">
          <w:rPr>
            <w:webHidden/>
          </w:rPr>
          <w:fldChar w:fldCharType="separate"/>
        </w:r>
        <w:r w:rsidR="00224BBB">
          <w:rPr>
            <w:webHidden/>
          </w:rPr>
          <w:t>71</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5" w:history="1">
        <w:r w:rsidR="00EC7648" w:rsidRPr="00CD0585">
          <w:rPr>
            <w:rStyle w:val="Hyperlink"/>
          </w:rPr>
          <w:t>APPENDIX A – MODELING RESULTS FOR WESTERN GULLS EXPOSED TO BRODIFACOUM ON THE FARALLON ISLANDS</w:t>
        </w:r>
        <w:r w:rsidR="00EC7648">
          <w:rPr>
            <w:webHidden/>
          </w:rPr>
          <w:tab/>
        </w:r>
        <w:r w:rsidR="00EC7648">
          <w:rPr>
            <w:webHidden/>
          </w:rPr>
          <w:fldChar w:fldCharType="begin"/>
        </w:r>
        <w:r w:rsidR="00EC7648">
          <w:rPr>
            <w:webHidden/>
          </w:rPr>
          <w:instrText xml:space="preserve"> PAGEREF _Toc343007955 \h </w:instrText>
        </w:r>
        <w:r w:rsidR="00EC7648">
          <w:rPr>
            <w:webHidden/>
          </w:rPr>
        </w:r>
        <w:r w:rsidR="00EC7648">
          <w:rPr>
            <w:webHidden/>
          </w:rPr>
          <w:fldChar w:fldCharType="separate"/>
        </w:r>
        <w:r w:rsidR="00224BBB">
          <w:rPr>
            <w:webHidden/>
          </w:rPr>
          <w:t>78</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6" w:history="1">
        <w:r w:rsidR="00EC7648" w:rsidRPr="00CD0585">
          <w:rPr>
            <w:rStyle w:val="Hyperlink"/>
          </w:rPr>
          <w:t>APPENDIX B – MODELING RESULTS FOR WESTERN GULLS EXPOSED TO DIPHACINONE ON THE FARALLON ISLANDS</w:t>
        </w:r>
        <w:r w:rsidR="00EC7648">
          <w:rPr>
            <w:webHidden/>
          </w:rPr>
          <w:tab/>
        </w:r>
        <w:r w:rsidR="00EC7648">
          <w:rPr>
            <w:webHidden/>
          </w:rPr>
          <w:fldChar w:fldCharType="begin"/>
        </w:r>
        <w:r w:rsidR="00EC7648">
          <w:rPr>
            <w:webHidden/>
          </w:rPr>
          <w:instrText xml:space="preserve"> PAGEREF _Toc343007956 \h </w:instrText>
        </w:r>
        <w:r w:rsidR="00EC7648">
          <w:rPr>
            <w:webHidden/>
          </w:rPr>
        </w:r>
        <w:r w:rsidR="00EC7648">
          <w:rPr>
            <w:webHidden/>
          </w:rPr>
          <w:fldChar w:fldCharType="separate"/>
        </w:r>
        <w:r w:rsidR="00224BBB">
          <w:rPr>
            <w:webHidden/>
          </w:rPr>
          <w:t>83</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7" w:history="1">
        <w:r w:rsidR="00EC7648" w:rsidRPr="00CD0585">
          <w:rPr>
            <w:rStyle w:val="Hyperlink"/>
          </w:rPr>
          <w:t>APPENDIX C – SENSITIVITY ANALYSIS FOR BRODIFACOUM MODEL</w:t>
        </w:r>
        <w:r w:rsidR="00EC7648">
          <w:rPr>
            <w:webHidden/>
          </w:rPr>
          <w:tab/>
        </w:r>
        <w:r w:rsidR="00EC7648">
          <w:rPr>
            <w:webHidden/>
          </w:rPr>
          <w:fldChar w:fldCharType="begin"/>
        </w:r>
        <w:r w:rsidR="00EC7648">
          <w:rPr>
            <w:webHidden/>
          </w:rPr>
          <w:instrText xml:space="preserve"> PAGEREF _Toc343007957 \h </w:instrText>
        </w:r>
        <w:r w:rsidR="00EC7648">
          <w:rPr>
            <w:webHidden/>
          </w:rPr>
        </w:r>
        <w:r w:rsidR="00EC7648">
          <w:rPr>
            <w:webHidden/>
          </w:rPr>
          <w:fldChar w:fldCharType="separate"/>
        </w:r>
        <w:r w:rsidR="00224BBB">
          <w:rPr>
            <w:webHidden/>
          </w:rPr>
          <w:t>88</w:t>
        </w:r>
        <w:r w:rsidR="00EC7648">
          <w:rPr>
            <w:webHidden/>
          </w:rPr>
          <w:fldChar w:fldCharType="end"/>
        </w:r>
      </w:hyperlink>
    </w:p>
    <w:p w:rsidR="00EC7648" w:rsidRDefault="00CE3381">
      <w:pPr>
        <w:pStyle w:val="TOC1"/>
        <w:rPr>
          <w:rFonts w:asciiTheme="minorHAnsi" w:eastAsiaTheme="minorEastAsia" w:hAnsiTheme="minorHAnsi" w:cstheme="minorBidi"/>
          <w:b w:val="0"/>
          <w:bCs w:val="0"/>
          <w:caps w:val="0"/>
          <w:szCs w:val="22"/>
        </w:rPr>
      </w:pPr>
      <w:hyperlink w:anchor="_Toc343007958" w:history="1">
        <w:r w:rsidR="00EC7648" w:rsidRPr="00CD0585">
          <w:rPr>
            <w:rStyle w:val="Hyperlink"/>
          </w:rPr>
          <w:t>APPENDIX D – SENSITIVITY ANALYSIS FOR Diphacinone MODEL</w:t>
        </w:r>
        <w:r w:rsidR="00EC7648">
          <w:rPr>
            <w:webHidden/>
          </w:rPr>
          <w:tab/>
        </w:r>
        <w:r w:rsidR="00EC7648">
          <w:rPr>
            <w:webHidden/>
          </w:rPr>
          <w:fldChar w:fldCharType="begin"/>
        </w:r>
        <w:r w:rsidR="00EC7648">
          <w:rPr>
            <w:webHidden/>
          </w:rPr>
          <w:instrText xml:space="preserve"> PAGEREF _Toc343007958 \h </w:instrText>
        </w:r>
        <w:r w:rsidR="00EC7648">
          <w:rPr>
            <w:webHidden/>
          </w:rPr>
        </w:r>
        <w:r w:rsidR="00EC7648">
          <w:rPr>
            <w:webHidden/>
          </w:rPr>
          <w:fldChar w:fldCharType="separate"/>
        </w:r>
        <w:r w:rsidR="00224BBB">
          <w:rPr>
            <w:webHidden/>
          </w:rPr>
          <w:t>90</w:t>
        </w:r>
        <w:r w:rsidR="00EC7648">
          <w:rPr>
            <w:webHidden/>
          </w:rPr>
          <w:fldChar w:fldCharType="end"/>
        </w:r>
      </w:hyperlink>
    </w:p>
    <w:p w:rsidR="0099279C" w:rsidRPr="00B94CD4" w:rsidRDefault="00447447" w:rsidP="0099279C">
      <w:pPr>
        <w:pStyle w:val="Footer"/>
        <w:rPr>
          <w:rFonts w:cs="Times New Roman"/>
          <w:sz w:val="24"/>
          <w:szCs w:val="24"/>
        </w:rPr>
      </w:pPr>
      <w:r w:rsidRPr="00457406">
        <w:rPr>
          <w:rFonts w:cs="Times New Roman"/>
          <w:noProof/>
          <w:sz w:val="24"/>
          <w:szCs w:val="24"/>
        </w:rPr>
        <w:fldChar w:fldCharType="end"/>
      </w:r>
    </w:p>
    <w:p w:rsidR="0099279C" w:rsidRPr="00B94CD4" w:rsidRDefault="0099279C" w:rsidP="0099279C">
      <w:pPr>
        <w:pStyle w:val="Footer"/>
        <w:rPr>
          <w:rFonts w:cs="Times New Roman"/>
          <w:sz w:val="24"/>
          <w:szCs w:val="24"/>
        </w:rPr>
      </w:pPr>
    </w:p>
    <w:p w:rsidR="0099279C" w:rsidRPr="00B94CD4" w:rsidRDefault="0099279C" w:rsidP="0099279C">
      <w:pPr>
        <w:pStyle w:val="BodyText"/>
        <w:rPr>
          <w:rFonts w:ascii="Times New Roman" w:hAnsi="Times New Roman" w:cs="Times New Roman"/>
          <w:sz w:val="24"/>
          <w:szCs w:val="24"/>
        </w:rPr>
      </w:pPr>
      <w:r w:rsidRPr="00B94CD4">
        <w:rPr>
          <w:rFonts w:ascii="Times New Roman" w:hAnsi="Times New Roman" w:cs="Times New Roman"/>
          <w:sz w:val="24"/>
          <w:szCs w:val="24"/>
        </w:rPr>
        <w:br w:type="page"/>
      </w:r>
      <w:bookmarkStart w:id="2" w:name="_Toc68063396"/>
    </w:p>
    <w:p w:rsidR="0099279C" w:rsidRPr="00EB4307" w:rsidRDefault="0099279C" w:rsidP="003D4D0A">
      <w:pPr>
        <w:pStyle w:val="Heading1"/>
      </w:pPr>
      <w:bookmarkStart w:id="3" w:name="_Toc291772783"/>
      <w:bookmarkStart w:id="4" w:name="_Toc343007907"/>
      <w:bookmarkEnd w:id="2"/>
      <w:r w:rsidRPr="00EB4307">
        <w:t>Introduction</w:t>
      </w:r>
      <w:bookmarkEnd w:id="3"/>
      <w:bookmarkEnd w:id="4"/>
    </w:p>
    <w:p w:rsidR="00D64D93" w:rsidRPr="0099279C" w:rsidRDefault="00D64D93" w:rsidP="00D64D93">
      <w:pPr>
        <w:rPr>
          <w:rFonts w:cs="Times New Roman"/>
          <w:sz w:val="24"/>
          <w:szCs w:val="24"/>
        </w:rPr>
      </w:pPr>
      <w:r w:rsidRPr="0099279C">
        <w:rPr>
          <w:rFonts w:cs="Times New Roman"/>
          <w:sz w:val="24"/>
          <w:szCs w:val="24"/>
        </w:rPr>
        <w:t>The natural balance and ecology of the South Farallon Island</w:t>
      </w:r>
      <w:r w:rsidR="00A26F8A">
        <w:rPr>
          <w:rFonts w:cs="Times New Roman"/>
          <w:sz w:val="24"/>
          <w:szCs w:val="24"/>
        </w:rPr>
        <w:t>s</w:t>
      </w:r>
      <w:r w:rsidRPr="0099279C">
        <w:rPr>
          <w:rFonts w:cs="Times New Roman"/>
          <w:sz w:val="24"/>
          <w:szCs w:val="24"/>
        </w:rPr>
        <w:t xml:space="preserve"> has been altered due to human presence and</w:t>
      </w:r>
      <w:r w:rsidR="008E1DE6" w:rsidRPr="0099279C">
        <w:rPr>
          <w:rFonts w:cs="Times New Roman"/>
          <w:sz w:val="24"/>
          <w:szCs w:val="24"/>
        </w:rPr>
        <w:t xml:space="preserve"> the</w:t>
      </w:r>
      <w:r w:rsidRPr="0099279C">
        <w:rPr>
          <w:rFonts w:cs="Times New Roman"/>
          <w:sz w:val="24"/>
          <w:szCs w:val="24"/>
        </w:rPr>
        <w:t xml:space="preserve"> introduction of pest species. Disruption of native biological resources, such as </w:t>
      </w:r>
      <w:r w:rsidR="00AF3B16">
        <w:rPr>
          <w:rFonts w:cs="Times New Roman"/>
          <w:sz w:val="24"/>
          <w:szCs w:val="24"/>
        </w:rPr>
        <w:t>predation of</w:t>
      </w:r>
      <w:r w:rsidRPr="0099279C">
        <w:rPr>
          <w:rFonts w:cs="Times New Roman"/>
          <w:sz w:val="24"/>
          <w:szCs w:val="24"/>
        </w:rPr>
        <w:t xml:space="preserve"> seabirds, has occurred as a result of infestation by non-native house mice (</w:t>
      </w:r>
      <w:r w:rsidRPr="0099279C">
        <w:rPr>
          <w:rFonts w:cs="Times New Roman"/>
          <w:i/>
          <w:sz w:val="24"/>
          <w:szCs w:val="24"/>
        </w:rPr>
        <w:t>Mus musculus</w:t>
      </w:r>
      <w:r w:rsidRPr="0099279C">
        <w:rPr>
          <w:rFonts w:cs="Times New Roman"/>
          <w:sz w:val="24"/>
          <w:szCs w:val="24"/>
        </w:rPr>
        <w:t xml:space="preserve">). </w:t>
      </w:r>
      <w:r w:rsidR="000B0E72">
        <w:rPr>
          <w:rFonts w:cs="Times New Roman"/>
          <w:sz w:val="24"/>
          <w:szCs w:val="24"/>
        </w:rPr>
        <w:t>Along with other methods, a</w:t>
      </w:r>
      <w:r w:rsidR="0000477D">
        <w:rPr>
          <w:rFonts w:cs="Times New Roman"/>
          <w:sz w:val="24"/>
          <w:szCs w:val="24"/>
        </w:rPr>
        <w:t>pplication of one of two rodenticides, brodifacoum or diphacinone,</w:t>
      </w:r>
      <w:r w:rsidRPr="0099279C">
        <w:rPr>
          <w:rFonts w:cs="Times New Roman"/>
          <w:sz w:val="24"/>
          <w:szCs w:val="24"/>
        </w:rPr>
        <w:t xml:space="preserve"> is being considered to eradicate mice from the South Farallon Islands. </w:t>
      </w:r>
    </w:p>
    <w:p w:rsidR="00D64D93" w:rsidRPr="0099279C" w:rsidRDefault="00D64D93" w:rsidP="00D64D93">
      <w:pPr>
        <w:rPr>
          <w:rFonts w:cs="Times New Roman"/>
          <w:sz w:val="24"/>
          <w:szCs w:val="24"/>
        </w:rPr>
      </w:pPr>
      <w:r w:rsidRPr="0099279C">
        <w:rPr>
          <w:rFonts w:cs="Times New Roman"/>
          <w:sz w:val="24"/>
          <w:szCs w:val="24"/>
        </w:rPr>
        <w:t>Th</w:t>
      </w:r>
      <w:r w:rsidR="00CB6054" w:rsidRPr="0099279C">
        <w:rPr>
          <w:rFonts w:cs="Times New Roman"/>
          <w:sz w:val="24"/>
          <w:szCs w:val="24"/>
        </w:rPr>
        <w:t>e</w:t>
      </w:r>
      <w:r w:rsidRPr="0099279C">
        <w:rPr>
          <w:rFonts w:cs="Times New Roman"/>
          <w:sz w:val="24"/>
          <w:szCs w:val="24"/>
        </w:rPr>
        <w:t xml:space="preserve"> </w:t>
      </w:r>
      <w:r w:rsidR="0000477D">
        <w:rPr>
          <w:rFonts w:cs="Times New Roman"/>
          <w:sz w:val="24"/>
          <w:szCs w:val="24"/>
        </w:rPr>
        <w:t>goals</w:t>
      </w:r>
      <w:r w:rsidRPr="0099279C">
        <w:rPr>
          <w:rFonts w:cs="Times New Roman"/>
          <w:sz w:val="24"/>
          <w:szCs w:val="24"/>
        </w:rPr>
        <w:t xml:space="preserve"> of this assessment </w:t>
      </w:r>
      <w:r w:rsidR="000B0E72">
        <w:rPr>
          <w:rFonts w:cs="Times New Roman"/>
          <w:sz w:val="24"/>
          <w:szCs w:val="24"/>
        </w:rPr>
        <w:t>we</w:t>
      </w:r>
      <w:r w:rsidR="0000477D">
        <w:rPr>
          <w:rFonts w:cs="Times New Roman"/>
          <w:sz w:val="24"/>
          <w:szCs w:val="24"/>
        </w:rPr>
        <w:t>re</w:t>
      </w:r>
      <w:r w:rsidRPr="0099279C">
        <w:rPr>
          <w:rFonts w:cs="Times New Roman"/>
          <w:sz w:val="24"/>
          <w:szCs w:val="24"/>
        </w:rPr>
        <w:t xml:space="preserve"> to determine </w:t>
      </w:r>
      <w:r w:rsidR="0000477D">
        <w:rPr>
          <w:rFonts w:cs="Times New Roman"/>
          <w:sz w:val="24"/>
          <w:szCs w:val="24"/>
        </w:rPr>
        <w:t>the relative risks of brodifacoum and diphacinone to</w:t>
      </w:r>
      <w:r w:rsidRPr="0099279C">
        <w:rPr>
          <w:rFonts w:cs="Times New Roman"/>
          <w:sz w:val="24"/>
          <w:szCs w:val="24"/>
        </w:rPr>
        <w:t xml:space="preserve"> western gulls (</w:t>
      </w:r>
      <w:r w:rsidRPr="0099279C">
        <w:rPr>
          <w:rFonts w:cs="Times New Roman"/>
          <w:i/>
          <w:sz w:val="24"/>
          <w:szCs w:val="24"/>
        </w:rPr>
        <w:t>Larus occidentalis</w:t>
      </w:r>
      <w:r w:rsidRPr="0099279C">
        <w:rPr>
          <w:rFonts w:cs="Times New Roman"/>
          <w:sz w:val="24"/>
          <w:szCs w:val="24"/>
        </w:rPr>
        <w:t xml:space="preserve">) </w:t>
      </w:r>
      <w:r w:rsidR="0000477D">
        <w:rPr>
          <w:rFonts w:cs="Times New Roman"/>
          <w:sz w:val="24"/>
          <w:szCs w:val="24"/>
        </w:rPr>
        <w:t xml:space="preserve">and, for each </w:t>
      </w:r>
      <w:r w:rsidR="00DE72B1">
        <w:rPr>
          <w:rFonts w:cs="Times New Roman"/>
          <w:sz w:val="24"/>
          <w:szCs w:val="24"/>
        </w:rPr>
        <w:t>rodenticide</w:t>
      </w:r>
      <w:r w:rsidR="0000477D">
        <w:rPr>
          <w:rFonts w:cs="Times New Roman"/>
          <w:sz w:val="24"/>
          <w:szCs w:val="24"/>
        </w:rPr>
        <w:t xml:space="preserve">, to </w:t>
      </w:r>
      <w:r w:rsidR="000D489B">
        <w:rPr>
          <w:rFonts w:cs="Times New Roman"/>
          <w:sz w:val="24"/>
          <w:szCs w:val="24"/>
        </w:rPr>
        <w:t xml:space="preserve">assist in determining </w:t>
      </w:r>
      <w:r w:rsidR="0000477D">
        <w:rPr>
          <w:rFonts w:cs="Times New Roman"/>
          <w:sz w:val="24"/>
          <w:szCs w:val="24"/>
        </w:rPr>
        <w:t>what mitigation measures would be the most effective at reducing risk</w:t>
      </w:r>
      <w:r w:rsidRPr="0099279C">
        <w:rPr>
          <w:rFonts w:cs="Times New Roman"/>
          <w:sz w:val="24"/>
          <w:szCs w:val="24"/>
        </w:rPr>
        <w:t xml:space="preserve">. </w:t>
      </w:r>
      <w:r w:rsidR="000D489B" w:rsidRPr="000D489B">
        <w:rPr>
          <w:rFonts w:cs="Times New Roman"/>
          <w:sz w:val="24"/>
          <w:szCs w:val="24"/>
        </w:rPr>
        <w:t xml:space="preserve">Western gulls were the focal species of this risk assessment because it is one of the only resident seabird species of the Farallones that could be present during the proposed mouse eradication period that is not strictly piscivorous. As an omnivore, some </w:t>
      </w:r>
      <w:r w:rsidR="000D489B">
        <w:rPr>
          <w:rFonts w:cs="Times New Roman"/>
          <w:sz w:val="24"/>
          <w:szCs w:val="24"/>
        </w:rPr>
        <w:t>w</w:t>
      </w:r>
      <w:r w:rsidR="000D489B" w:rsidRPr="000D489B">
        <w:rPr>
          <w:rFonts w:cs="Times New Roman"/>
          <w:sz w:val="24"/>
          <w:szCs w:val="24"/>
        </w:rPr>
        <w:t>estern gulls could be at risk of exposure by ingestion of pellets or mice if any gulls are on the island when rodenticide bait is present.</w:t>
      </w:r>
      <w:r w:rsidR="007D7297" w:rsidRPr="0099279C">
        <w:rPr>
          <w:rFonts w:cs="Times New Roman"/>
          <w:sz w:val="24"/>
          <w:szCs w:val="24"/>
        </w:rPr>
        <w:t xml:space="preserve"> </w:t>
      </w:r>
      <w:r w:rsidRPr="0099279C">
        <w:rPr>
          <w:rFonts w:cs="Times New Roman"/>
          <w:sz w:val="24"/>
          <w:szCs w:val="24"/>
        </w:rPr>
        <w:t xml:space="preserve">The remainder of this chapter provides background information on </w:t>
      </w:r>
      <w:r w:rsidR="00A26F8A">
        <w:rPr>
          <w:rFonts w:cs="Times New Roman"/>
          <w:sz w:val="24"/>
          <w:szCs w:val="24"/>
        </w:rPr>
        <w:t>the South Farallon Islands</w:t>
      </w:r>
      <w:r w:rsidRPr="0099279C">
        <w:rPr>
          <w:rFonts w:cs="Times New Roman"/>
          <w:sz w:val="24"/>
          <w:szCs w:val="24"/>
        </w:rPr>
        <w:t xml:space="preserve">, the bird species found </w:t>
      </w:r>
      <w:r w:rsidR="008E1DE6" w:rsidRPr="0099279C">
        <w:rPr>
          <w:rFonts w:cs="Times New Roman"/>
          <w:sz w:val="24"/>
          <w:szCs w:val="24"/>
        </w:rPr>
        <w:t>there</w:t>
      </w:r>
      <w:r w:rsidRPr="0099279C">
        <w:rPr>
          <w:rFonts w:cs="Times New Roman"/>
          <w:sz w:val="24"/>
          <w:szCs w:val="24"/>
        </w:rPr>
        <w:t xml:space="preserve">, and </w:t>
      </w:r>
      <w:r w:rsidR="008E1DE6" w:rsidRPr="0099279C">
        <w:rPr>
          <w:rFonts w:cs="Times New Roman"/>
          <w:sz w:val="24"/>
          <w:szCs w:val="24"/>
        </w:rPr>
        <w:t>on the proposed mouse eradication project</w:t>
      </w:r>
      <w:r w:rsidRPr="0099279C">
        <w:rPr>
          <w:rFonts w:cs="Times New Roman"/>
          <w:sz w:val="24"/>
          <w:szCs w:val="24"/>
        </w:rPr>
        <w:t xml:space="preserve">. </w:t>
      </w:r>
    </w:p>
    <w:p w:rsidR="00D64D93" w:rsidRPr="0099279C" w:rsidRDefault="0099279C" w:rsidP="00A24258">
      <w:pPr>
        <w:pStyle w:val="Heading2"/>
      </w:pPr>
      <w:bookmarkStart w:id="5" w:name="_Toc343007908"/>
      <w:r>
        <w:t xml:space="preserve">Description of the </w:t>
      </w:r>
      <w:r w:rsidR="000D489B">
        <w:t>FARALLON ISLANDS</w:t>
      </w:r>
      <w:bookmarkEnd w:id="5"/>
    </w:p>
    <w:p w:rsidR="00D64D93" w:rsidRPr="0099279C" w:rsidRDefault="00D64D93" w:rsidP="00D64D93">
      <w:pPr>
        <w:pStyle w:val="NormalWeb"/>
        <w:spacing w:before="0" w:beforeAutospacing="0" w:after="200" w:afterAutospacing="0" w:line="276" w:lineRule="auto"/>
        <w:rPr>
          <w:rFonts w:ascii="Times New Roman" w:hAnsi="Times New Roman" w:cs="Times New Roman"/>
          <w:sz w:val="24"/>
          <w:szCs w:val="24"/>
        </w:rPr>
      </w:pPr>
      <w:r w:rsidRPr="0099279C">
        <w:rPr>
          <w:rFonts w:ascii="Times New Roman" w:hAnsi="Times New Roman" w:cs="Times New Roman"/>
          <w:sz w:val="24"/>
          <w:szCs w:val="24"/>
        </w:rPr>
        <w:t xml:space="preserve">The Farallon Islands is a group of islands located 28 miles west of San Francisco in the Pacific Ocean. </w:t>
      </w:r>
      <w:r w:rsidRPr="0099279C">
        <w:rPr>
          <w:rFonts w:ascii="Times New Roman" w:eastAsia="Calibri" w:hAnsi="Times New Roman" w:cs="Times New Roman"/>
          <w:sz w:val="24"/>
          <w:szCs w:val="24"/>
        </w:rPr>
        <w:t xml:space="preserve">As a declared National Wildlife Refuge, the Farallon Islands are under the jurisdiction of the United States Fish and Wildlife Service (FWS). The surrounding waters </w:t>
      </w:r>
      <w:r w:rsidR="00151F26" w:rsidRPr="0099279C">
        <w:rPr>
          <w:rFonts w:ascii="Times New Roman" w:eastAsia="Calibri" w:hAnsi="Times New Roman" w:cs="Times New Roman"/>
          <w:sz w:val="24"/>
          <w:szCs w:val="24"/>
        </w:rPr>
        <w:t>are</w:t>
      </w:r>
      <w:r w:rsidRPr="0099279C">
        <w:rPr>
          <w:rFonts w:ascii="Times New Roman" w:eastAsia="Calibri" w:hAnsi="Times New Roman" w:cs="Times New Roman"/>
          <w:sz w:val="24"/>
          <w:szCs w:val="24"/>
        </w:rPr>
        <w:t xml:space="preserve"> a National Marine Sanctuary and are under the jurisdiction of the National Oceanographic Atmospheric Administration (NOAA). </w:t>
      </w:r>
      <w:r w:rsidRPr="0099279C">
        <w:rPr>
          <w:rFonts w:ascii="Times New Roman" w:hAnsi="Times New Roman" w:cs="Times New Roman"/>
          <w:sz w:val="24"/>
          <w:szCs w:val="24"/>
        </w:rPr>
        <w:t>The Farallon Islands, as a group, are also called</w:t>
      </w:r>
      <w:r w:rsidR="007222D3">
        <w:rPr>
          <w:rFonts w:ascii="Times New Roman" w:hAnsi="Times New Roman" w:cs="Times New Roman"/>
          <w:sz w:val="24"/>
          <w:szCs w:val="24"/>
        </w:rPr>
        <w:t xml:space="preserve"> the</w:t>
      </w:r>
      <w:r w:rsidRPr="0099279C">
        <w:rPr>
          <w:rFonts w:ascii="Times New Roman" w:hAnsi="Times New Roman" w:cs="Times New Roman"/>
          <w:sz w:val="24"/>
          <w:szCs w:val="24"/>
        </w:rPr>
        <w:t xml:space="preserve"> "Farallones" which mean</w:t>
      </w:r>
      <w:r w:rsidR="00151F26" w:rsidRPr="0099279C">
        <w:rPr>
          <w:rFonts w:ascii="Times New Roman" w:hAnsi="Times New Roman" w:cs="Times New Roman"/>
          <w:sz w:val="24"/>
          <w:szCs w:val="24"/>
        </w:rPr>
        <w:t>s</w:t>
      </w:r>
      <w:r w:rsidRPr="0099279C">
        <w:rPr>
          <w:rFonts w:ascii="Times New Roman" w:hAnsi="Times New Roman" w:cs="Times New Roman"/>
          <w:sz w:val="24"/>
          <w:szCs w:val="24"/>
        </w:rPr>
        <w:t xml:space="preserve"> "rocks out of the sea". </w:t>
      </w:r>
    </w:p>
    <w:p w:rsidR="00D64D93" w:rsidRPr="0099279C" w:rsidRDefault="00D64D93" w:rsidP="00D64D93">
      <w:pPr>
        <w:rPr>
          <w:rFonts w:cs="Times New Roman"/>
          <w:sz w:val="24"/>
          <w:szCs w:val="24"/>
        </w:rPr>
      </w:pPr>
      <w:r w:rsidRPr="0099279C">
        <w:rPr>
          <w:rFonts w:cs="Times New Roman"/>
          <w:sz w:val="24"/>
          <w:szCs w:val="24"/>
        </w:rPr>
        <w:t xml:space="preserve">Southeast Farallon Island </w:t>
      </w:r>
      <w:r w:rsidR="00A26F8A">
        <w:rPr>
          <w:rFonts w:cs="Times New Roman"/>
          <w:sz w:val="24"/>
          <w:szCs w:val="24"/>
        </w:rPr>
        <w:t>(</w:t>
      </w:r>
      <w:r w:rsidR="00BE7C91">
        <w:rPr>
          <w:rFonts w:cs="Times New Roman"/>
          <w:sz w:val="24"/>
          <w:szCs w:val="24"/>
        </w:rPr>
        <w:t>SFI</w:t>
      </w:r>
      <w:r w:rsidR="00A26F8A">
        <w:rPr>
          <w:rFonts w:cs="Times New Roman"/>
          <w:sz w:val="24"/>
          <w:szCs w:val="24"/>
        </w:rPr>
        <w:t xml:space="preserve">) </w:t>
      </w:r>
      <w:r w:rsidRPr="0099279C">
        <w:rPr>
          <w:rFonts w:cs="Times New Roman"/>
          <w:sz w:val="24"/>
          <w:szCs w:val="24"/>
        </w:rPr>
        <w:t>is the largest island in the Farallones group</w:t>
      </w:r>
      <w:r w:rsidR="00BA4EFD" w:rsidRPr="0099279C">
        <w:rPr>
          <w:rFonts w:cs="Times New Roman"/>
          <w:sz w:val="24"/>
          <w:szCs w:val="24"/>
        </w:rPr>
        <w:t>,</w:t>
      </w:r>
      <w:r w:rsidR="008E1DE6" w:rsidRPr="0099279C">
        <w:rPr>
          <w:rFonts w:cs="Times New Roman"/>
          <w:sz w:val="24"/>
          <w:szCs w:val="24"/>
        </w:rPr>
        <w:t xml:space="preserve"> having</w:t>
      </w:r>
      <w:r w:rsidRPr="0099279C">
        <w:rPr>
          <w:rFonts w:cs="Times New Roman"/>
          <w:sz w:val="24"/>
          <w:szCs w:val="24"/>
        </w:rPr>
        <w:t xml:space="preserve"> an area of 0.31 km² or 310,406 m². The island is pyramidal in shape and is approximately 109 meters above sea level</w:t>
      </w:r>
      <w:r w:rsidR="008449C6">
        <w:rPr>
          <w:rFonts w:cs="Times New Roman"/>
          <w:sz w:val="24"/>
          <w:szCs w:val="24"/>
        </w:rPr>
        <w:t xml:space="preserve"> at its peak</w:t>
      </w:r>
      <w:r w:rsidRPr="0099279C">
        <w:rPr>
          <w:rFonts w:cs="Times New Roman"/>
          <w:sz w:val="24"/>
          <w:szCs w:val="24"/>
        </w:rPr>
        <w:t xml:space="preserve">. </w:t>
      </w:r>
      <w:r w:rsidR="00BE7C91">
        <w:rPr>
          <w:rFonts w:cs="Times New Roman"/>
          <w:sz w:val="24"/>
          <w:szCs w:val="24"/>
        </w:rPr>
        <w:t>SFI</w:t>
      </w:r>
      <w:r w:rsidRPr="0099279C">
        <w:rPr>
          <w:rFonts w:cs="Times New Roman"/>
          <w:sz w:val="24"/>
          <w:szCs w:val="24"/>
        </w:rPr>
        <w:t xml:space="preserve"> is the only inhabited island of the group. T</w:t>
      </w:r>
      <w:r w:rsidRPr="0099279C">
        <w:rPr>
          <w:rFonts w:eastAsia="Calibri" w:cs="Times New Roman"/>
          <w:sz w:val="24"/>
          <w:szCs w:val="24"/>
        </w:rPr>
        <w:t>he public is no longer allowed access to the islands.</w:t>
      </w:r>
      <w:r w:rsidRPr="0099279C">
        <w:rPr>
          <w:rFonts w:cs="Times New Roman"/>
          <w:sz w:val="24"/>
          <w:szCs w:val="24"/>
        </w:rPr>
        <w:t xml:space="preserve"> </w:t>
      </w:r>
    </w:p>
    <w:p w:rsidR="00D64D93" w:rsidRPr="0099279C" w:rsidRDefault="00D64D93" w:rsidP="00D64D93">
      <w:pPr>
        <w:pStyle w:val="Heading2"/>
      </w:pPr>
      <w:bookmarkStart w:id="6" w:name="_Toc343007909"/>
      <w:r w:rsidRPr="0099279C">
        <w:t>The Western Gull (</w:t>
      </w:r>
      <w:r w:rsidRPr="0099279C">
        <w:rPr>
          <w:i/>
        </w:rPr>
        <w:t>Larus occidentalis</w:t>
      </w:r>
      <w:r w:rsidRPr="0099279C">
        <w:t>)</w:t>
      </w:r>
      <w:bookmarkEnd w:id="6"/>
      <w:r w:rsidRPr="0099279C">
        <w:t xml:space="preserve"> </w:t>
      </w:r>
    </w:p>
    <w:p w:rsidR="00D64D93" w:rsidRPr="0099279C" w:rsidRDefault="00D64D93" w:rsidP="00D64D93">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w:t>
      </w:r>
      <w:r w:rsidRPr="0099279C">
        <w:rPr>
          <w:rFonts w:cs="Times New Roman"/>
          <w:i/>
          <w:sz w:val="24"/>
          <w:szCs w:val="24"/>
        </w:rPr>
        <w:t>Larus occidentalis</w:t>
      </w:r>
      <w:r w:rsidRPr="0099279C">
        <w:rPr>
          <w:rFonts w:cs="Times New Roman"/>
          <w:sz w:val="24"/>
          <w:szCs w:val="24"/>
        </w:rPr>
        <w:t xml:space="preserve">) is a </w:t>
      </w:r>
      <w:r w:rsidRPr="0099279C">
        <w:rPr>
          <w:rFonts w:cs="Times New Roman"/>
          <w:color w:val="000000"/>
          <w:sz w:val="24"/>
          <w:szCs w:val="24"/>
        </w:rPr>
        <w:t>white-headed</w:t>
      </w:r>
      <w:r w:rsidR="00D53259" w:rsidRPr="0099279C">
        <w:rPr>
          <w:rFonts w:cs="Times New Roman"/>
          <w:color w:val="000000"/>
          <w:sz w:val="24"/>
          <w:szCs w:val="24"/>
        </w:rPr>
        <w:t>,</w:t>
      </w:r>
      <w:r w:rsidR="00B96C66" w:rsidRPr="0099279C">
        <w:rPr>
          <w:rFonts w:cs="Times New Roman"/>
          <w:color w:val="000000"/>
          <w:sz w:val="24"/>
          <w:szCs w:val="24"/>
        </w:rPr>
        <w:t xml:space="preserve"> </w:t>
      </w:r>
      <w:r w:rsidR="00D83C5D" w:rsidRPr="0099279C">
        <w:rPr>
          <w:rFonts w:cs="Times New Roman"/>
          <w:color w:val="000000"/>
          <w:sz w:val="24"/>
          <w:szCs w:val="24"/>
        </w:rPr>
        <w:t xml:space="preserve">medium-sized </w:t>
      </w:r>
      <w:r w:rsidRPr="0099279C">
        <w:rPr>
          <w:rFonts w:cs="Times New Roman"/>
          <w:color w:val="000000"/>
          <w:sz w:val="24"/>
          <w:szCs w:val="24"/>
        </w:rPr>
        <w:t>gull</w:t>
      </w:r>
      <w:r w:rsidRPr="0099279C">
        <w:rPr>
          <w:rFonts w:cs="Times New Roman"/>
          <w:sz w:val="24"/>
          <w:szCs w:val="24"/>
        </w:rPr>
        <w:t>.</w:t>
      </w:r>
      <w:r w:rsidRPr="0099279C">
        <w:rPr>
          <w:rFonts w:cs="Times New Roman"/>
          <w:color w:val="000000"/>
          <w:sz w:val="24"/>
          <w:szCs w:val="24"/>
        </w:rPr>
        <w:t xml:space="preserve"> Like most gulls</w:t>
      </w:r>
      <w:r w:rsidR="00D53259" w:rsidRPr="0099279C">
        <w:rPr>
          <w:rFonts w:cs="Times New Roman"/>
          <w:color w:val="000000"/>
          <w:sz w:val="24"/>
          <w:szCs w:val="24"/>
        </w:rPr>
        <w:t>, the western gull is</w:t>
      </w:r>
      <w:r w:rsidRPr="0099279C">
        <w:rPr>
          <w:rFonts w:cs="Times New Roman"/>
          <w:color w:val="000000"/>
          <w:sz w:val="24"/>
          <w:szCs w:val="24"/>
        </w:rPr>
        <w:t xml:space="preserve"> sexual</w:t>
      </w:r>
      <w:r w:rsidR="007222D3">
        <w:rPr>
          <w:rFonts w:cs="Times New Roman"/>
          <w:color w:val="000000"/>
          <w:sz w:val="24"/>
          <w:szCs w:val="24"/>
        </w:rPr>
        <w:t>ly</w:t>
      </w:r>
      <w:r w:rsidRPr="0099279C">
        <w:rPr>
          <w:rFonts w:cs="Times New Roman"/>
          <w:color w:val="000000"/>
          <w:sz w:val="24"/>
          <w:szCs w:val="24"/>
        </w:rPr>
        <w:t xml:space="preserve"> dimorphi</w:t>
      </w:r>
      <w:r w:rsidR="00D53259" w:rsidRPr="0099279C">
        <w:rPr>
          <w:rFonts w:cs="Times New Roman"/>
          <w:color w:val="000000"/>
          <w:sz w:val="24"/>
          <w:szCs w:val="24"/>
        </w:rPr>
        <w:t>c</w:t>
      </w:r>
      <w:r w:rsidRPr="0099279C">
        <w:rPr>
          <w:rFonts w:cs="Times New Roman"/>
          <w:color w:val="000000"/>
          <w:sz w:val="24"/>
          <w:szCs w:val="24"/>
        </w:rPr>
        <w:t xml:space="preserve"> in body size</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m</w:t>
      </w:r>
      <w:r w:rsidRPr="0099279C">
        <w:rPr>
          <w:rFonts w:cs="Times New Roman"/>
          <w:color w:val="000000"/>
          <w:sz w:val="24"/>
          <w:szCs w:val="24"/>
        </w:rPr>
        <w:t xml:space="preserve">ales </w:t>
      </w:r>
      <w:r w:rsidRPr="0099279C">
        <w:rPr>
          <w:rFonts w:cs="Times New Roman"/>
          <w:sz w:val="24"/>
          <w:szCs w:val="24"/>
        </w:rPr>
        <w:t xml:space="preserve">measure </w:t>
      </w:r>
      <w:r w:rsidRPr="0099279C">
        <w:rPr>
          <w:rFonts w:cs="Times New Roman"/>
          <w:color w:val="000000"/>
          <w:sz w:val="24"/>
          <w:szCs w:val="24"/>
        </w:rPr>
        <w:t>60</w:t>
      </w:r>
      <w:r w:rsidR="00F67AB0" w:rsidRPr="0099279C">
        <w:rPr>
          <w:rFonts w:cs="Times New Roman"/>
          <w:color w:val="000000"/>
          <w:sz w:val="24"/>
          <w:szCs w:val="24"/>
        </w:rPr>
        <w:t>-</w:t>
      </w:r>
      <w:r w:rsidRPr="0099279C">
        <w:rPr>
          <w:rFonts w:cs="Times New Roman"/>
          <w:color w:val="000000"/>
          <w:sz w:val="24"/>
          <w:szCs w:val="24"/>
        </w:rPr>
        <w:t xml:space="preserve">66 cm </w:t>
      </w:r>
      <w:r w:rsidR="00D83C5D" w:rsidRPr="0099279C">
        <w:rPr>
          <w:rFonts w:cs="Times New Roman"/>
          <w:color w:val="000000"/>
          <w:sz w:val="24"/>
          <w:szCs w:val="24"/>
        </w:rPr>
        <w:t>in</w:t>
      </w:r>
      <w:r w:rsidRPr="0099279C">
        <w:rPr>
          <w:rFonts w:cs="Times New Roman"/>
          <w:color w:val="000000"/>
          <w:sz w:val="24"/>
          <w:szCs w:val="24"/>
        </w:rPr>
        <w:t xml:space="preserve"> total length, with </w:t>
      </w:r>
      <w:r w:rsidR="008449C6">
        <w:rPr>
          <w:rFonts w:cs="Times New Roman"/>
          <w:color w:val="000000"/>
          <w:sz w:val="24"/>
          <w:szCs w:val="24"/>
        </w:rPr>
        <w:t xml:space="preserve">body </w:t>
      </w:r>
      <w:r w:rsidRPr="0099279C">
        <w:rPr>
          <w:rFonts w:cs="Times New Roman"/>
          <w:color w:val="000000"/>
          <w:sz w:val="24"/>
          <w:szCs w:val="24"/>
        </w:rPr>
        <w:t>mass ranging from 1050</w:t>
      </w:r>
      <w:r w:rsidR="00F67AB0" w:rsidRPr="0099279C">
        <w:rPr>
          <w:rFonts w:cs="Times New Roman"/>
          <w:color w:val="000000"/>
          <w:sz w:val="24"/>
          <w:szCs w:val="24"/>
        </w:rPr>
        <w:t>-</w:t>
      </w:r>
      <w:r w:rsidRPr="0099279C">
        <w:rPr>
          <w:rFonts w:cs="Times New Roman"/>
          <w:color w:val="000000"/>
          <w:sz w:val="24"/>
          <w:szCs w:val="24"/>
        </w:rPr>
        <w:t>1250 g</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f</w:t>
      </w:r>
      <w:r w:rsidRPr="0099279C">
        <w:rPr>
          <w:rFonts w:cs="Times New Roman"/>
          <w:color w:val="000000"/>
          <w:sz w:val="24"/>
          <w:szCs w:val="24"/>
        </w:rPr>
        <w:t>emales are about 20 percent smaller with a total length of 56</w:t>
      </w:r>
      <w:r w:rsidR="00F67AB0" w:rsidRPr="0099279C">
        <w:rPr>
          <w:rFonts w:cs="Times New Roman"/>
          <w:color w:val="000000"/>
          <w:sz w:val="24"/>
          <w:szCs w:val="24"/>
        </w:rPr>
        <w:t>-</w:t>
      </w:r>
      <w:r w:rsidRPr="0099279C">
        <w:rPr>
          <w:rFonts w:cs="Times New Roman"/>
          <w:color w:val="000000"/>
          <w:sz w:val="24"/>
          <w:szCs w:val="24"/>
        </w:rPr>
        <w:t>62 cm, and mass of 800</w:t>
      </w:r>
      <w:r w:rsidR="00F67AB0" w:rsidRPr="0099279C">
        <w:rPr>
          <w:rFonts w:cs="Times New Roman"/>
          <w:color w:val="000000"/>
          <w:sz w:val="24"/>
          <w:szCs w:val="24"/>
        </w:rPr>
        <w:t>-</w:t>
      </w:r>
      <w:r w:rsidRPr="0099279C">
        <w:rPr>
          <w:rFonts w:cs="Times New Roman"/>
          <w:color w:val="000000"/>
          <w:sz w:val="24"/>
          <w:szCs w:val="24"/>
        </w:rPr>
        <w:t xml:space="preserve">980 g (Pierotti 1981; </w:t>
      </w:r>
      <w:r w:rsidRPr="0099279C">
        <w:rPr>
          <w:rFonts w:cs="Times New Roman"/>
          <w:sz w:val="24"/>
          <w:szCs w:val="24"/>
        </w:rPr>
        <w:t xml:space="preserve">Pierotti and Annett, 1995). Like most gulls, 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is an opportunistic feeder</w:t>
      </w:r>
      <w:r w:rsidR="00D83C5D" w:rsidRPr="0099279C">
        <w:rPr>
          <w:rFonts w:cs="Times New Roman"/>
          <w:sz w:val="24"/>
          <w:szCs w:val="24"/>
        </w:rPr>
        <w:t xml:space="preserve"> that often forages on</w:t>
      </w:r>
      <w:r w:rsidRPr="0099279C">
        <w:rPr>
          <w:rFonts w:cs="Times New Roman"/>
          <w:sz w:val="24"/>
          <w:szCs w:val="24"/>
        </w:rPr>
        <w:t xml:space="preserve"> live prey (</w:t>
      </w:r>
      <w:r w:rsidR="00D83C5D" w:rsidRPr="0099279C">
        <w:rPr>
          <w:rFonts w:cs="Times New Roman"/>
          <w:sz w:val="24"/>
          <w:szCs w:val="24"/>
        </w:rPr>
        <w:t xml:space="preserve">e.g., </w:t>
      </w:r>
      <w:r w:rsidRPr="0099279C">
        <w:rPr>
          <w:rFonts w:cs="Times New Roman"/>
          <w:sz w:val="24"/>
          <w:szCs w:val="24"/>
        </w:rPr>
        <w:t>marine invertebrates, fish, eggs and chicks of other seabird species), scavenge</w:t>
      </w:r>
      <w:r w:rsidR="00D53259" w:rsidRPr="0099279C">
        <w:rPr>
          <w:rFonts w:cs="Times New Roman"/>
          <w:sz w:val="24"/>
          <w:szCs w:val="24"/>
        </w:rPr>
        <w:t>s</w:t>
      </w:r>
      <w:r w:rsidRPr="0099279C">
        <w:rPr>
          <w:rFonts w:cs="Times New Roman"/>
          <w:sz w:val="24"/>
          <w:szCs w:val="24"/>
        </w:rPr>
        <w:t xml:space="preserve"> carrion and refuse, </w:t>
      </w:r>
      <w:r w:rsidR="00D53259" w:rsidRPr="0099279C">
        <w:rPr>
          <w:rFonts w:cs="Times New Roman"/>
          <w:sz w:val="24"/>
          <w:szCs w:val="24"/>
        </w:rPr>
        <w:t>and</w:t>
      </w:r>
      <w:r w:rsidRPr="0099279C">
        <w:rPr>
          <w:rFonts w:cs="Times New Roman"/>
          <w:sz w:val="24"/>
          <w:szCs w:val="24"/>
        </w:rPr>
        <w:t xml:space="preserve"> steal</w:t>
      </w:r>
      <w:r w:rsidR="00D53259" w:rsidRPr="0099279C">
        <w:rPr>
          <w:rFonts w:cs="Times New Roman"/>
          <w:sz w:val="24"/>
          <w:szCs w:val="24"/>
        </w:rPr>
        <w:t>s</w:t>
      </w:r>
      <w:r w:rsidRPr="0099279C">
        <w:rPr>
          <w:rFonts w:cs="Times New Roman"/>
          <w:sz w:val="24"/>
          <w:szCs w:val="24"/>
        </w:rPr>
        <w:t xml:space="preserve"> food from others. </w:t>
      </w:r>
    </w:p>
    <w:p w:rsidR="001834B1" w:rsidRPr="001834B1" w:rsidRDefault="00D64D93" w:rsidP="00D64D93">
      <w:pPr>
        <w:rPr>
          <w:rFonts w:cs="Times New Roman"/>
          <w:color w:val="000000"/>
          <w:sz w:val="24"/>
          <w:szCs w:val="24"/>
        </w:rPr>
      </w:pPr>
      <w:r w:rsidRPr="0099279C">
        <w:rPr>
          <w:rFonts w:cs="Times New Roman"/>
          <w:color w:val="000000"/>
          <w:sz w:val="24"/>
          <w:szCs w:val="24"/>
        </w:rPr>
        <w:t xml:space="preserve">The </w:t>
      </w:r>
      <w:r w:rsidR="00D83C5D" w:rsidRPr="0099279C">
        <w:rPr>
          <w:rFonts w:cs="Times New Roman"/>
          <w:color w:val="000000"/>
          <w:sz w:val="24"/>
          <w:szCs w:val="24"/>
        </w:rPr>
        <w:t>w</w:t>
      </w:r>
      <w:r w:rsidRPr="0099279C">
        <w:rPr>
          <w:rFonts w:cs="Times New Roman"/>
          <w:color w:val="000000"/>
          <w:sz w:val="24"/>
          <w:szCs w:val="24"/>
        </w:rPr>
        <w:t xml:space="preserve">estern </w:t>
      </w:r>
      <w:r w:rsidR="00D53259" w:rsidRPr="0099279C">
        <w:rPr>
          <w:rFonts w:cs="Times New Roman"/>
          <w:color w:val="000000"/>
          <w:sz w:val="24"/>
          <w:szCs w:val="24"/>
        </w:rPr>
        <w:t>g</w:t>
      </w:r>
      <w:r w:rsidRPr="0099279C">
        <w:rPr>
          <w:rFonts w:cs="Times New Roman"/>
          <w:color w:val="000000"/>
          <w:sz w:val="24"/>
          <w:szCs w:val="24"/>
        </w:rPr>
        <w:t xml:space="preserve">ull is a familiar and well-known species on the Pacific Coast. However, the range and distribution of the </w:t>
      </w:r>
      <w:r w:rsidR="00D53259" w:rsidRPr="0099279C">
        <w:rPr>
          <w:rFonts w:cs="Times New Roman"/>
          <w:color w:val="000000"/>
          <w:sz w:val="24"/>
          <w:szCs w:val="24"/>
        </w:rPr>
        <w:t>species</w:t>
      </w:r>
      <w:r w:rsidRPr="0099279C">
        <w:rPr>
          <w:rFonts w:cs="Times New Roman"/>
          <w:color w:val="000000"/>
          <w:sz w:val="24"/>
          <w:szCs w:val="24"/>
        </w:rPr>
        <w:t xml:space="preserve"> is limited (</w:t>
      </w:r>
      <w:r w:rsidR="00D83C5D" w:rsidRPr="0099279C">
        <w:rPr>
          <w:rFonts w:cs="Times New Roman"/>
          <w:sz w:val="24"/>
          <w:szCs w:val="24"/>
        </w:rPr>
        <w:t>Pierotti and Annett, 1995</w:t>
      </w:r>
      <w:r w:rsidRPr="0099279C">
        <w:rPr>
          <w:rFonts w:cs="Times New Roman"/>
          <w:color w:val="000000"/>
          <w:sz w:val="24"/>
          <w:szCs w:val="24"/>
        </w:rPr>
        <w:t xml:space="preserve">). </w:t>
      </w:r>
      <w:r w:rsidR="00D83C5D" w:rsidRPr="0099279C">
        <w:rPr>
          <w:rFonts w:cs="Times New Roman"/>
          <w:color w:val="000000"/>
          <w:sz w:val="24"/>
          <w:szCs w:val="24"/>
        </w:rPr>
        <w:t>The</w:t>
      </w:r>
      <w:r w:rsidRPr="0099279C">
        <w:rPr>
          <w:rFonts w:cs="Times New Roman"/>
          <w:color w:val="000000"/>
          <w:sz w:val="24"/>
          <w:szCs w:val="24"/>
        </w:rPr>
        <w:t xml:space="preserve"> total </w:t>
      </w:r>
      <w:r w:rsidR="00D53259" w:rsidRPr="0099279C">
        <w:rPr>
          <w:rFonts w:cs="Times New Roman"/>
          <w:color w:val="000000"/>
          <w:sz w:val="24"/>
          <w:szCs w:val="24"/>
        </w:rPr>
        <w:t xml:space="preserve">worldwide </w:t>
      </w:r>
      <w:r w:rsidRPr="0099279C">
        <w:rPr>
          <w:rFonts w:cs="Times New Roman"/>
          <w:color w:val="000000"/>
          <w:sz w:val="24"/>
          <w:szCs w:val="24"/>
        </w:rPr>
        <w:t xml:space="preserve">population of </w:t>
      </w:r>
      <w:r w:rsidR="00D83C5D" w:rsidRPr="0099279C">
        <w:rPr>
          <w:rFonts w:cs="Times New Roman"/>
          <w:color w:val="000000"/>
          <w:sz w:val="24"/>
          <w:szCs w:val="24"/>
        </w:rPr>
        <w:t>western gulls is</w:t>
      </w:r>
      <w:r w:rsidRPr="0099279C">
        <w:rPr>
          <w:rFonts w:cs="Times New Roman"/>
          <w:color w:val="000000"/>
          <w:sz w:val="24"/>
          <w:szCs w:val="24"/>
        </w:rPr>
        <w:t xml:space="preserve"> about 40,000 pairs </w:t>
      </w:r>
      <w:r w:rsidR="00D83C5D" w:rsidRPr="0099279C">
        <w:rPr>
          <w:rFonts w:cs="Times New Roman"/>
          <w:color w:val="000000"/>
          <w:sz w:val="24"/>
          <w:szCs w:val="24"/>
        </w:rPr>
        <w:t>with</w:t>
      </w:r>
      <w:r w:rsidRPr="0099279C">
        <w:rPr>
          <w:rFonts w:cs="Times New Roman"/>
          <w:color w:val="000000"/>
          <w:sz w:val="24"/>
          <w:szCs w:val="24"/>
        </w:rPr>
        <w:t xml:space="preserve"> 30 percent </w:t>
      </w:r>
      <w:r w:rsidR="00D83C5D" w:rsidRPr="0099279C">
        <w:rPr>
          <w:rFonts w:cs="Times New Roman"/>
          <w:color w:val="000000"/>
          <w:sz w:val="24"/>
          <w:szCs w:val="24"/>
        </w:rPr>
        <w:t>or more nesting</w:t>
      </w:r>
      <w:r w:rsidRPr="0099279C">
        <w:rPr>
          <w:rFonts w:cs="Times New Roman"/>
          <w:color w:val="000000"/>
          <w:sz w:val="24"/>
          <w:szCs w:val="24"/>
        </w:rPr>
        <w:t xml:space="preserve"> on </w:t>
      </w:r>
      <w:r w:rsidR="00BE7C91">
        <w:rPr>
          <w:rFonts w:cs="Times New Roman"/>
          <w:color w:val="000000"/>
          <w:sz w:val="24"/>
          <w:szCs w:val="24"/>
        </w:rPr>
        <w:t>SFI</w:t>
      </w:r>
      <w:r w:rsidR="00D53259" w:rsidRPr="0099279C">
        <w:rPr>
          <w:rFonts w:cs="Times New Roman"/>
          <w:color w:val="000000"/>
          <w:sz w:val="24"/>
          <w:szCs w:val="24"/>
        </w:rPr>
        <w:t xml:space="preserve"> </w:t>
      </w:r>
      <w:r w:rsidRPr="0099279C">
        <w:rPr>
          <w:rFonts w:cs="Times New Roman"/>
          <w:color w:val="000000"/>
          <w:sz w:val="24"/>
          <w:szCs w:val="24"/>
        </w:rPr>
        <w:t>(</w:t>
      </w:r>
      <w:r w:rsidRPr="0099279C">
        <w:rPr>
          <w:rFonts w:cs="Times New Roman"/>
          <w:sz w:val="24"/>
          <w:szCs w:val="24"/>
        </w:rPr>
        <w:t>Sowls et al.</w:t>
      </w:r>
      <w:r w:rsidR="00BC4B13" w:rsidRPr="0099279C">
        <w:rPr>
          <w:rFonts w:cs="Times New Roman"/>
          <w:sz w:val="24"/>
          <w:szCs w:val="24"/>
        </w:rPr>
        <w:t>,</w:t>
      </w:r>
      <w:r w:rsidRPr="0099279C">
        <w:rPr>
          <w:rFonts w:cs="Times New Roman"/>
          <w:sz w:val="24"/>
          <w:szCs w:val="24"/>
        </w:rPr>
        <w:t xml:space="preserve"> 1980</w:t>
      </w:r>
      <w:r w:rsidRPr="0099279C">
        <w:rPr>
          <w:rFonts w:cs="Times New Roman"/>
          <w:color w:val="000000"/>
          <w:sz w:val="24"/>
          <w:szCs w:val="24"/>
        </w:rPr>
        <w:t xml:space="preserve">; </w:t>
      </w:r>
      <w:r w:rsidRPr="0099279C">
        <w:rPr>
          <w:rFonts w:cs="Times New Roman"/>
          <w:sz w:val="24"/>
          <w:szCs w:val="24"/>
        </w:rPr>
        <w:t>Penniman et al.</w:t>
      </w:r>
      <w:r w:rsidR="00BC4B13" w:rsidRPr="0099279C">
        <w:rPr>
          <w:rFonts w:cs="Times New Roman"/>
          <w:sz w:val="24"/>
          <w:szCs w:val="24"/>
        </w:rPr>
        <w:t>,</w:t>
      </w:r>
      <w:r w:rsidRPr="0099279C">
        <w:rPr>
          <w:rFonts w:cs="Times New Roman"/>
          <w:sz w:val="24"/>
          <w:szCs w:val="24"/>
        </w:rPr>
        <w:t xml:space="preserve"> 1990</w:t>
      </w:r>
      <w:r w:rsidRPr="0099279C">
        <w:rPr>
          <w:rFonts w:cs="Times New Roman"/>
          <w:color w:val="000000"/>
          <w:sz w:val="24"/>
          <w:szCs w:val="24"/>
        </w:rPr>
        <w:t xml:space="preserve">). </w:t>
      </w:r>
      <w:r w:rsidR="001834B1">
        <w:rPr>
          <w:rFonts w:cs="Times New Roman"/>
          <w:color w:val="000000"/>
          <w:sz w:val="24"/>
          <w:szCs w:val="24"/>
        </w:rPr>
        <w:t>PRBO Conservation Science has been monitoring western gulls and other seabirds and wildlife on the South Farallon Islands daily for over 45 years and this set of data and knowledge, along with that of the USFWS Refuge biologists, has helped inform many of the parameter estimates of this model.</w:t>
      </w:r>
    </w:p>
    <w:p w:rsidR="00D83C5D" w:rsidRPr="0099279C" w:rsidRDefault="0096141A" w:rsidP="00D83C5D">
      <w:pPr>
        <w:pStyle w:val="Heading2"/>
      </w:pPr>
      <w:bookmarkStart w:id="7" w:name="_Toc343007910"/>
      <w:r w:rsidRPr="0099279C">
        <w:t>Project Background</w:t>
      </w:r>
      <w:bookmarkEnd w:id="7"/>
    </w:p>
    <w:p w:rsidR="002A57A6" w:rsidRDefault="00D83C5D">
      <w:pPr>
        <w:spacing w:after="0"/>
        <w:rPr>
          <w:rFonts w:cs="Times New Roman"/>
          <w:sz w:val="24"/>
          <w:szCs w:val="24"/>
        </w:rPr>
      </w:pPr>
      <w:r w:rsidRPr="0099279C">
        <w:rPr>
          <w:rFonts w:cs="Times New Roman"/>
          <w:sz w:val="24"/>
          <w:szCs w:val="24"/>
        </w:rPr>
        <w:t>Female</w:t>
      </w:r>
      <w:r w:rsidR="00241A21">
        <w:rPr>
          <w:rFonts w:cs="Times New Roman"/>
          <w:sz w:val="24"/>
          <w:szCs w:val="24"/>
        </w:rPr>
        <w:t xml:space="preserve"> mice</w:t>
      </w:r>
      <w:r w:rsidRPr="0099279C">
        <w:rPr>
          <w:rFonts w:cs="Times New Roman"/>
          <w:sz w:val="24"/>
          <w:szCs w:val="24"/>
        </w:rPr>
        <w:t xml:space="preserve"> reach sexual maturity at about 6 weeks and males at about 8 weeks, but both can breed as early as </w:t>
      </w:r>
      <w:r w:rsidR="00D53259" w:rsidRPr="0099279C">
        <w:rPr>
          <w:rFonts w:cs="Times New Roman"/>
          <w:sz w:val="24"/>
          <w:szCs w:val="24"/>
        </w:rPr>
        <w:t>5</w:t>
      </w:r>
      <w:r w:rsidRPr="0099279C">
        <w:rPr>
          <w:rFonts w:cs="Times New Roman"/>
          <w:sz w:val="24"/>
          <w:szCs w:val="24"/>
        </w:rPr>
        <w:t xml:space="preserve"> weeks. The reproductive potential of mice is staggering</w:t>
      </w:r>
      <w:r w:rsidR="00D53259" w:rsidRPr="0099279C">
        <w:rPr>
          <w:rFonts w:cs="Times New Roman"/>
          <w:sz w:val="24"/>
          <w:szCs w:val="24"/>
        </w:rPr>
        <w:t>. They have a short</w:t>
      </w:r>
      <w:r w:rsidRPr="0099279C">
        <w:rPr>
          <w:rFonts w:cs="Times New Roman"/>
          <w:sz w:val="24"/>
          <w:szCs w:val="24"/>
        </w:rPr>
        <w:t xml:space="preserve"> gestation period of about 19</w:t>
      </w:r>
      <w:r w:rsidR="00F67AB0" w:rsidRPr="0099279C">
        <w:rPr>
          <w:rFonts w:cs="Times New Roman"/>
          <w:sz w:val="24"/>
          <w:szCs w:val="24"/>
        </w:rPr>
        <w:t>-</w:t>
      </w:r>
      <w:r w:rsidRPr="0099279C">
        <w:rPr>
          <w:rFonts w:cs="Times New Roman"/>
          <w:sz w:val="24"/>
          <w:szCs w:val="24"/>
        </w:rPr>
        <w:t>21 days. Females can pr</w:t>
      </w:r>
      <w:r w:rsidR="00D53259" w:rsidRPr="0099279C">
        <w:rPr>
          <w:rFonts w:cs="Times New Roman"/>
          <w:sz w:val="24"/>
          <w:szCs w:val="24"/>
        </w:rPr>
        <w:t>oduce 5</w:t>
      </w:r>
      <w:r w:rsidR="0086749F">
        <w:rPr>
          <w:rFonts w:cs="Times New Roman"/>
          <w:sz w:val="24"/>
          <w:szCs w:val="24"/>
        </w:rPr>
        <w:t>-</w:t>
      </w:r>
      <w:r w:rsidR="00D53259" w:rsidRPr="0099279C">
        <w:rPr>
          <w:rFonts w:cs="Times New Roman"/>
          <w:sz w:val="24"/>
          <w:szCs w:val="24"/>
        </w:rPr>
        <w:t xml:space="preserve">10 litters per year </w:t>
      </w:r>
      <w:r w:rsidRPr="0099279C">
        <w:rPr>
          <w:rFonts w:cs="Times New Roman"/>
          <w:sz w:val="24"/>
          <w:szCs w:val="24"/>
        </w:rPr>
        <w:t xml:space="preserve">ranging in size </w:t>
      </w:r>
      <w:r w:rsidR="00D53259" w:rsidRPr="0099279C">
        <w:rPr>
          <w:rFonts w:cs="Times New Roman"/>
          <w:sz w:val="24"/>
          <w:szCs w:val="24"/>
        </w:rPr>
        <w:t>from</w:t>
      </w:r>
      <w:r w:rsidRPr="0099279C">
        <w:rPr>
          <w:rFonts w:cs="Times New Roman"/>
          <w:sz w:val="24"/>
          <w:szCs w:val="24"/>
        </w:rPr>
        <w:t xml:space="preserve"> 3</w:t>
      </w:r>
      <w:r w:rsidR="00F67AB0" w:rsidRPr="0099279C">
        <w:rPr>
          <w:rFonts w:cs="Times New Roman"/>
          <w:sz w:val="24"/>
          <w:szCs w:val="24"/>
        </w:rPr>
        <w:t>-</w:t>
      </w:r>
      <w:r w:rsidRPr="0099279C">
        <w:rPr>
          <w:rFonts w:cs="Times New Roman"/>
          <w:sz w:val="24"/>
          <w:szCs w:val="24"/>
        </w:rPr>
        <w:t xml:space="preserve">12 pups </w:t>
      </w:r>
      <w:r w:rsidR="00D53259" w:rsidRPr="0099279C">
        <w:rPr>
          <w:rFonts w:cs="Times New Roman"/>
          <w:sz w:val="24"/>
          <w:szCs w:val="24"/>
        </w:rPr>
        <w:t>per</w:t>
      </w:r>
      <w:r w:rsidRPr="0099279C">
        <w:rPr>
          <w:rFonts w:cs="Times New Roman"/>
          <w:sz w:val="24"/>
          <w:szCs w:val="24"/>
        </w:rPr>
        <w:t xml:space="preserve"> litter</w:t>
      </w:r>
      <w:r w:rsidR="0096141A" w:rsidRPr="0099279C">
        <w:rPr>
          <w:rFonts w:cs="Times New Roman"/>
          <w:sz w:val="24"/>
          <w:szCs w:val="24"/>
        </w:rPr>
        <w:t>. Thus, a</w:t>
      </w:r>
      <w:r w:rsidRPr="0099279C">
        <w:rPr>
          <w:rFonts w:cs="Times New Roman"/>
          <w:sz w:val="24"/>
          <w:szCs w:val="24"/>
        </w:rPr>
        <w:t xml:space="preserve"> single female can </w:t>
      </w:r>
      <w:r w:rsidR="0096141A" w:rsidRPr="0099279C">
        <w:rPr>
          <w:rFonts w:cs="Times New Roman"/>
          <w:sz w:val="24"/>
          <w:szCs w:val="24"/>
        </w:rPr>
        <w:t>produce</w:t>
      </w:r>
      <w:r w:rsidRPr="0099279C">
        <w:rPr>
          <w:rFonts w:cs="Times New Roman"/>
          <w:sz w:val="24"/>
          <w:szCs w:val="24"/>
        </w:rPr>
        <w:t xml:space="preserve"> between 15 and 168 pups in a single year (Musser and Carleton, 2005). Mice are relativ</w:t>
      </w:r>
      <w:r w:rsidR="00D53259" w:rsidRPr="0099279C">
        <w:rPr>
          <w:rFonts w:cs="Times New Roman"/>
          <w:sz w:val="24"/>
          <w:szCs w:val="24"/>
        </w:rPr>
        <w:t xml:space="preserve">ely short-lived </w:t>
      </w:r>
      <w:r w:rsidRPr="0099279C">
        <w:rPr>
          <w:rFonts w:cs="Times New Roman"/>
          <w:sz w:val="24"/>
          <w:szCs w:val="24"/>
        </w:rPr>
        <w:t xml:space="preserve">with a lifespan </w:t>
      </w:r>
      <w:r w:rsidR="00D53259" w:rsidRPr="0099279C">
        <w:rPr>
          <w:rFonts w:cs="Times New Roman"/>
          <w:sz w:val="24"/>
          <w:szCs w:val="24"/>
        </w:rPr>
        <w:t xml:space="preserve">of </w:t>
      </w:r>
      <w:r w:rsidRPr="0099279C">
        <w:rPr>
          <w:rFonts w:cs="Times New Roman"/>
          <w:sz w:val="24"/>
          <w:szCs w:val="24"/>
        </w:rPr>
        <w:t xml:space="preserve">usually less than 1 year in the wild. This short lifespan is often the result of predation and/or harsh environmental conditions. </w:t>
      </w:r>
    </w:p>
    <w:p w:rsidR="002A57A6" w:rsidRDefault="002A57A6">
      <w:pPr>
        <w:spacing w:after="0"/>
        <w:rPr>
          <w:rFonts w:cs="Times New Roman"/>
          <w:sz w:val="24"/>
          <w:szCs w:val="24"/>
        </w:rPr>
      </w:pPr>
    </w:p>
    <w:p w:rsidR="00D83C5D" w:rsidRPr="0099279C" w:rsidRDefault="00D83C5D" w:rsidP="00D83C5D">
      <w:pPr>
        <w:rPr>
          <w:rFonts w:cs="Times New Roman"/>
          <w:sz w:val="24"/>
          <w:szCs w:val="24"/>
        </w:rPr>
      </w:pPr>
      <w:r w:rsidRPr="0099279C">
        <w:rPr>
          <w:rFonts w:cs="Times New Roman"/>
          <w:sz w:val="24"/>
          <w:szCs w:val="24"/>
        </w:rPr>
        <w:t xml:space="preserve">Rodenticide application is </w:t>
      </w:r>
      <w:r w:rsidR="00223D66">
        <w:rPr>
          <w:rFonts w:cs="Times New Roman"/>
          <w:sz w:val="24"/>
          <w:szCs w:val="24"/>
        </w:rPr>
        <w:t xml:space="preserve">being considered as a potential </w:t>
      </w:r>
      <w:r w:rsidRPr="0099279C">
        <w:rPr>
          <w:rFonts w:cs="Times New Roman"/>
          <w:sz w:val="24"/>
          <w:szCs w:val="24"/>
        </w:rPr>
        <w:t>technique</w:t>
      </w:r>
      <w:r w:rsidR="00223D66">
        <w:rPr>
          <w:rFonts w:cs="Times New Roman"/>
          <w:sz w:val="24"/>
          <w:szCs w:val="24"/>
        </w:rPr>
        <w:t>(s)</w:t>
      </w:r>
      <w:r w:rsidRPr="0099279C">
        <w:rPr>
          <w:rFonts w:cs="Times New Roman"/>
          <w:sz w:val="24"/>
          <w:szCs w:val="24"/>
        </w:rPr>
        <w:t xml:space="preserve"> for mouse eradication</w:t>
      </w:r>
      <w:r w:rsidR="005B3A72" w:rsidRPr="0099279C">
        <w:rPr>
          <w:rFonts w:cs="Times New Roman"/>
          <w:sz w:val="24"/>
          <w:szCs w:val="24"/>
        </w:rPr>
        <w:t xml:space="preserve"> on </w:t>
      </w:r>
      <w:r w:rsidR="00992CCD">
        <w:rPr>
          <w:rFonts w:cs="Times New Roman"/>
          <w:sz w:val="24"/>
          <w:szCs w:val="24"/>
        </w:rPr>
        <w:t>SFI</w:t>
      </w:r>
      <w:r w:rsidR="005B3A72" w:rsidRPr="0099279C">
        <w:rPr>
          <w:rFonts w:cs="Times New Roman"/>
          <w:sz w:val="24"/>
          <w:szCs w:val="24"/>
        </w:rPr>
        <w:t xml:space="preserve">. </w:t>
      </w:r>
      <w:r w:rsidR="00FE1035">
        <w:rPr>
          <w:rFonts w:cs="Times New Roman"/>
          <w:sz w:val="24"/>
          <w:szCs w:val="24"/>
        </w:rPr>
        <w:t xml:space="preserve">Two </w:t>
      </w:r>
      <w:r w:rsidR="000B0E72">
        <w:rPr>
          <w:rFonts w:cs="Times New Roman"/>
          <w:sz w:val="24"/>
          <w:szCs w:val="24"/>
        </w:rPr>
        <w:t xml:space="preserve">registered </w:t>
      </w:r>
      <w:r w:rsidR="00FE1035">
        <w:rPr>
          <w:rFonts w:cs="Times New Roman"/>
          <w:sz w:val="24"/>
          <w:szCs w:val="24"/>
        </w:rPr>
        <w:t>rodenticides are being proposed for the eradication of mice from the Farallones</w:t>
      </w:r>
      <w:r w:rsidR="001950D7">
        <w:rPr>
          <w:rFonts w:cs="Times New Roman"/>
          <w:sz w:val="24"/>
          <w:szCs w:val="24"/>
        </w:rPr>
        <w:t xml:space="preserve">: brodifacoum and diphacinone. </w:t>
      </w:r>
      <w:r w:rsidRPr="0099279C">
        <w:rPr>
          <w:rFonts w:cs="Times New Roman"/>
          <w:sz w:val="24"/>
          <w:szCs w:val="24"/>
        </w:rPr>
        <w:t>There are t</w:t>
      </w:r>
      <w:r w:rsidR="000B0E72">
        <w:rPr>
          <w:rFonts w:cs="Times New Roman"/>
          <w:sz w:val="24"/>
          <w:szCs w:val="24"/>
        </w:rPr>
        <w:t>hree</w:t>
      </w:r>
      <w:r w:rsidRPr="0099279C">
        <w:rPr>
          <w:rFonts w:cs="Times New Roman"/>
          <w:sz w:val="24"/>
          <w:szCs w:val="24"/>
        </w:rPr>
        <w:t xml:space="preserve"> primary techniques of application, bait stations</w:t>
      </w:r>
      <w:r w:rsidR="000B0E72">
        <w:rPr>
          <w:rFonts w:cs="Times New Roman"/>
          <w:sz w:val="24"/>
          <w:szCs w:val="24"/>
        </w:rPr>
        <w:t>, hand broadcast</w:t>
      </w:r>
      <w:r w:rsidRPr="0099279C">
        <w:rPr>
          <w:rFonts w:cs="Times New Roman"/>
          <w:sz w:val="24"/>
          <w:szCs w:val="24"/>
        </w:rPr>
        <w:t xml:space="preserve"> and aerial broadcast application</w:t>
      </w:r>
      <w:r w:rsidR="0086749F">
        <w:rPr>
          <w:rFonts w:cs="Times New Roman"/>
          <w:sz w:val="24"/>
          <w:szCs w:val="24"/>
        </w:rPr>
        <w:t xml:space="preserve"> of bait pellets</w:t>
      </w:r>
      <w:r w:rsidRPr="0099279C">
        <w:rPr>
          <w:rFonts w:cs="Times New Roman"/>
          <w:sz w:val="24"/>
          <w:szCs w:val="24"/>
        </w:rPr>
        <w:t>.</w:t>
      </w:r>
      <w:r w:rsidR="005B3A72" w:rsidRPr="0099279C">
        <w:rPr>
          <w:rFonts w:cs="Times New Roman"/>
          <w:sz w:val="24"/>
          <w:szCs w:val="24"/>
        </w:rPr>
        <w:t xml:space="preserve"> The latter is the approach proposed for</w:t>
      </w:r>
      <w:r w:rsidR="00992CCD">
        <w:rPr>
          <w:rFonts w:cs="Times New Roman"/>
          <w:sz w:val="24"/>
          <w:szCs w:val="24"/>
        </w:rPr>
        <w:t xml:space="preserve"> SFI</w:t>
      </w:r>
      <w:r w:rsidR="005B3A72" w:rsidRPr="0099279C">
        <w:rPr>
          <w:rFonts w:cs="Times New Roman"/>
          <w:sz w:val="24"/>
          <w:szCs w:val="24"/>
        </w:rPr>
        <w:t xml:space="preserve">. </w:t>
      </w:r>
      <w:r w:rsidRPr="0099279C">
        <w:rPr>
          <w:rFonts w:cs="Times New Roman"/>
          <w:sz w:val="24"/>
          <w:szCs w:val="24"/>
        </w:rPr>
        <w:t xml:space="preserve">Aerial broadcast application </w:t>
      </w:r>
      <w:r w:rsidR="005B3A72" w:rsidRPr="0099279C">
        <w:rPr>
          <w:rFonts w:cs="Times New Roman"/>
          <w:sz w:val="24"/>
          <w:szCs w:val="24"/>
        </w:rPr>
        <w:t>would be</w:t>
      </w:r>
      <w:r w:rsidRPr="0099279C">
        <w:rPr>
          <w:rFonts w:cs="Times New Roman"/>
          <w:sz w:val="24"/>
          <w:szCs w:val="24"/>
        </w:rPr>
        <w:t xml:space="preserve"> </w:t>
      </w:r>
      <w:r w:rsidR="00241A21">
        <w:rPr>
          <w:rFonts w:cs="Times New Roman"/>
          <w:sz w:val="24"/>
          <w:szCs w:val="24"/>
        </w:rPr>
        <w:t xml:space="preserve">conducted </w:t>
      </w:r>
      <w:r w:rsidRPr="0099279C">
        <w:rPr>
          <w:rFonts w:cs="Times New Roman"/>
          <w:sz w:val="24"/>
          <w:szCs w:val="24"/>
        </w:rPr>
        <w:t xml:space="preserve">by helicopter, which is currently the most frequently used bait delivery technique </w:t>
      </w:r>
      <w:r w:rsidR="00225F8F">
        <w:rPr>
          <w:rFonts w:cs="Times New Roman"/>
          <w:sz w:val="24"/>
          <w:szCs w:val="24"/>
        </w:rPr>
        <w:t xml:space="preserve">for </w:t>
      </w:r>
      <w:r w:rsidRPr="0099279C">
        <w:rPr>
          <w:rFonts w:cs="Times New Roman"/>
          <w:sz w:val="24"/>
          <w:szCs w:val="24"/>
        </w:rPr>
        <w:t xml:space="preserve">rodent eradications </w:t>
      </w:r>
      <w:r w:rsidR="00E65F54" w:rsidRPr="0099279C">
        <w:rPr>
          <w:rFonts w:cs="Times New Roman"/>
          <w:sz w:val="24"/>
          <w:szCs w:val="24"/>
        </w:rPr>
        <w:t xml:space="preserve">on large islands </w:t>
      </w:r>
      <w:r w:rsidRPr="0099279C">
        <w:rPr>
          <w:rFonts w:cs="Times New Roman"/>
          <w:sz w:val="24"/>
          <w:szCs w:val="24"/>
        </w:rPr>
        <w:t>(Howald et al., 2007</w:t>
      </w:r>
      <w:r w:rsidR="003975AF">
        <w:rPr>
          <w:rFonts w:cs="Times New Roman"/>
          <w:sz w:val="24"/>
          <w:szCs w:val="24"/>
        </w:rPr>
        <w:t>; Parkes et al., 2011</w:t>
      </w:r>
      <w:r w:rsidRPr="0099279C">
        <w:rPr>
          <w:rFonts w:cs="Times New Roman"/>
          <w:sz w:val="24"/>
          <w:szCs w:val="24"/>
        </w:rPr>
        <w:t xml:space="preserve">). For additional background information </w:t>
      </w:r>
      <w:r w:rsidR="0083499F" w:rsidRPr="0099279C">
        <w:rPr>
          <w:rFonts w:cs="Times New Roman"/>
          <w:sz w:val="24"/>
          <w:szCs w:val="24"/>
        </w:rPr>
        <w:t xml:space="preserve">on </w:t>
      </w:r>
      <w:r w:rsidR="00A336DD">
        <w:rPr>
          <w:rFonts w:cs="Times New Roman"/>
          <w:sz w:val="24"/>
          <w:szCs w:val="24"/>
        </w:rPr>
        <w:t xml:space="preserve">the </w:t>
      </w:r>
      <w:r w:rsidR="0083499F" w:rsidRPr="0099279C">
        <w:rPr>
          <w:rFonts w:cs="Times New Roman"/>
          <w:sz w:val="24"/>
          <w:szCs w:val="24"/>
        </w:rPr>
        <w:t>use</w:t>
      </w:r>
      <w:r w:rsidRPr="0099279C">
        <w:rPr>
          <w:rFonts w:cs="Times New Roman"/>
          <w:sz w:val="24"/>
          <w:szCs w:val="24"/>
        </w:rPr>
        <w:t xml:space="preserve"> of rodenticides</w:t>
      </w:r>
      <w:r w:rsidR="005B3A72" w:rsidRPr="0099279C">
        <w:rPr>
          <w:rFonts w:cs="Times New Roman"/>
          <w:sz w:val="24"/>
          <w:szCs w:val="24"/>
        </w:rPr>
        <w:t xml:space="preserve"> to eliminate rodents on islands,</w:t>
      </w:r>
      <w:r w:rsidRPr="0099279C">
        <w:rPr>
          <w:rFonts w:cs="Times New Roman"/>
          <w:sz w:val="24"/>
          <w:szCs w:val="24"/>
        </w:rPr>
        <w:t xml:space="preserve"> see Howald et al. </w:t>
      </w:r>
      <w:r w:rsidR="00B54A90" w:rsidRPr="00B54A90">
        <w:rPr>
          <w:rFonts w:cs="Times New Roman"/>
          <w:sz w:val="24"/>
          <w:szCs w:val="24"/>
          <w:lang w:val="fr-CA"/>
        </w:rPr>
        <w:t xml:space="preserve">(2007), Witmer et al. (2007), Mackay et al. (2007), Keitt et al. (2011), and Parkes et al. </w:t>
      </w:r>
      <w:r w:rsidR="003975AF">
        <w:rPr>
          <w:rFonts w:cs="Times New Roman"/>
          <w:sz w:val="24"/>
          <w:szCs w:val="24"/>
        </w:rPr>
        <w:t>(2011)</w:t>
      </w:r>
      <w:r w:rsidRPr="0099279C">
        <w:rPr>
          <w:rFonts w:cs="Times New Roman"/>
          <w:sz w:val="24"/>
          <w:szCs w:val="24"/>
        </w:rPr>
        <w:t>.</w:t>
      </w:r>
    </w:p>
    <w:p w:rsidR="00D83C5D" w:rsidRPr="0099279C" w:rsidRDefault="00D83C5D" w:rsidP="00D83C5D">
      <w:pPr>
        <w:rPr>
          <w:rFonts w:cs="Times New Roman"/>
          <w:sz w:val="24"/>
          <w:szCs w:val="24"/>
        </w:rPr>
      </w:pPr>
      <w:r w:rsidRPr="0099279C">
        <w:rPr>
          <w:rFonts w:cs="Times New Roman"/>
          <w:sz w:val="24"/>
          <w:szCs w:val="24"/>
        </w:rPr>
        <w:t xml:space="preserve">As </w:t>
      </w:r>
      <w:r w:rsidR="00EA0F74">
        <w:rPr>
          <w:rFonts w:cs="Times New Roman"/>
          <w:sz w:val="24"/>
          <w:szCs w:val="24"/>
        </w:rPr>
        <w:t xml:space="preserve">one of </w:t>
      </w:r>
      <w:r w:rsidRPr="0099279C">
        <w:rPr>
          <w:rFonts w:cs="Times New Roman"/>
          <w:sz w:val="24"/>
          <w:szCs w:val="24"/>
        </w:rPr>
        <w:t>the proposed method</w:t>
      </w:r>
      <w:r w:rsidR="00EA0F74">
        <w:rPr>
          <w:rFonts w:cs="Times New Roman"/>
          <w:sz w:val="24"/>
          <w:szCs w:val="24"/>
        </w:rPr>
        <w:t>s</w:t>
      </w:r>
      <w:r w:rsidRPr="0099279C">
        <w:rPr>
          <w:rFonts w:cs="Times New Roman"/>
          <w:sz w:val="24"/>
          <w:szCs w:val="24"/>
        </w:rPr>
        <w:t xml:space="preserve"> of eradication includes the use of a </w:t>
      </w:r>
      <w:r w:rsidR="00EA0F74">
        <w:rPr>
          <w:rFonts w:cs="Times New Roman"/>
          <w:sz w:val="24"/>
          <w:szCs w:val="24"/>
        </w:rPr>
        <w:t xml:space="preserve">vertebrate </w:t>
      </w:r>
      <w:r w:rsidRPr="0099279C">
        <w:rPr>
          <w:rFonts w:cs="Times New Roman"/>
          <w:sz w:val="24"/>
          <w:szCs w:val="24"/>
        </w:rPr>
        <w:t xml:space="preserve">toxin additional assessment </w:t>
      </w:r>
      <w:r w:rsidR="0083499F" w:rsidRPr="0099279C">
        <w:rPr>
          <w:rFonts w:cs="Times New Roman"/>
          <w:sz w:val="24"/>
          <w:szCs w:val="24"/>
        </w:rPr>
        <w:t>i</w:t>
      </w:r>
      <w:r w:rsidRPr="0099279C">
        <w:rPr>
          <w:rFonts w:cs="Times New Roman"/>
          <w:sz w:val="24"/>
          <w:szCs w:val="24"/>
        </w:rPr>
        <w:t xml:space="preserve">s required to determine the degree to which non-target biota could be affected </w:t>
      </w:r>
      <w:r w:rsidR="00225F8F">
        <w:rPr>
          <w:rFonts w:cs="Times New Roman"/>
          <w:sz w:val="24"/>
          <w:szCs w:val="24"/>
        </w:rPr>
        <w:t>by</w:t>
      </w:r>
      <w:r w:rsidRPr="0099279C">
        <w:rPr>
          <w:rFonts w:cs="Times New Roman"/>
          <w:sz w:val="24"/>
          <w:szCs w:val="24"/>
        </w:rPr>
        <w:t xml:space="preserve"> exposure to </w:t>
      </w:r>
      <w:r w:rsidR="0083499F" w:rsidRPr="0099279C">
        <w:rPr>
          <w:rFonts w:cs="Times New Roman"/>
          <w:sz w:val="24"/>
          <w:szCs w:val="24"/>
        </w:rPr>
        <w:t>brodifacoum</w:t>
      </w:r>
      <w:r w:rsidR="00225F8F">
        <w:rPr>
          <w:rFonts w:cs="Times New Roman"/>
          <w:sz w:val="24"/>
          <w:szCs w:val="24"/>
        </w:rPr>
        <w:t xml:space="preserve"> </w:t>
      </w:r>
      <w:r w:rsidR="00164A1F">
        <w:rPr>
          <w:rFonts w:cs="Times New Roman"/>
          <w:sz w:val="24"/>
          <w:szCs w:val="24"/>
        </w:rPr>
        <w:t>or</w:t>
      </w:r>
      <w:r w:rsidR="00225F8F">
        <w:rPr>
          <w:rFonts w:cs="Times New Roman"/>
          <w:sz w:val="24"/>
          <w:szCs w:val="24"/>
        </w:rPr>
        <w:t xml:space="preserve"> diphacinone</w:t>
      </w:r>
      <w:r w:rsidRPr="0099279C">
        <w:rPr>
          <w:rFonts w:cs="Times New Roman"/>
          <w:sz w:val="24"/>
          <w:szCs w:val="24"/>
        </w:rPr>
        <w:t xml:space="preserve">. </w:t>
      </w:r>
    </w:p>
    <w:p w:rsidR="00D83C5D" w:rsidRPr="0099279C" w:rsidRDefault="00BA0333" w:rsidP="00D83C5D">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risk</w:t>
      </w:r>
      <w:r w:rsidR="00ED5069">
        <w:rPr>
          <w:rFonts w:cs="Times New Roman"/>
          <w:sz w:val="24"/>
          <w:szCs w:val="24"/>
        </w:rPr>
        <w:t>s</w:t>
      </w:r>
      <w:r w:rsidRPr="0099279C">
        <w:rPr>
          <w:rFonts w:cs="Times New Roman"/>
          <w:sz w:val="24"/>
          <w:szCs w:val="24"/>
        </w:rPr>
        <w:t xml:space="preserve"> posed by</w:t>
      </w:r>
      <w:r w:rsidR="00D83C5D" w:rsidRPr="0099279C">
        <w:rPr>
          <w:rFonts w:cs="Times New Roman"/>
          <w:sz w:val="24"/>
          <w:szCs w:val="24"/>
        </w:rPr>
        <w:t xml:space="preserve"> exposure to brodifacoum </w:t>
      </w:r>
      <w:r w:rsidR="00ED5069">
        <w:rPr>
          <w:rFonts w:cs="Times New Roman"/>
          <w:sz w:val="24"/>
          <w:szCs w:val="24"/>
        </w:rPr>
        <w:t>are</w:t>
      </w:r>
      <w:r w:rsidR="00D83C5D" w:rsidRPr="0099279C">
        <w:rPr>
          <w:rFonts w:cs="Times New Roman"/>
          <w:sz w:val="24"/>
          <w:szCs w:val="24"/>
        </w:rPr>
        <w:t xml:space="preserve"> expected to be limited </w:t>
      </w:r>
      <w:r w:rsidRPr="0099279C">
        <w:rPr>
          <w:rFonts w:cs="Times New Roman"/>
          <w:sz w:val="24"/>
          <w:szCs w:val="24"/>
        </w:rPr>
        <w:t xml:space="preserve">for nearly all non-target species </w:t>
      </w:r>
      <w:r w:rsidR="00D83C5D" w:rsidRPr="0099279C">
        <w:rPr>
          <w:rFonts w:cs="Times New Roman"/>
          <w:sz w:val="24"/>
          <w:szCs w:val="24"/>
        </w:rPr>
        <w:t>(FWS</w:t>
      </w:r>
      <w:r w:rsidR="00896325" w:rsidRPr="0099279C">
        <w:rPr>
          <w:rFonts w:cs="Times New Roman"/>
          <w:sz w:val="24"/>
          <w:szCs w:val="24"/>
        </w:rPr>
        <w:t>,</w:t>
      </w:r>
      <w:r w:rsidR="00D83C5D" w:rsidRPr="0099279C">
        <w:rPr>
          <w:rFonts w:cs="Times New Roman"/>
          <w:sz w:val="24"/>
          <w:szCs w:val="24"/>
        </w:rPr>
        <w:t xml:space="preserve"> </w:t>
      </w:r>
      <w:r w:rsidR="006C1986" w:rsidRPr="0099279C">
        <w:rPr>
          <w:rFonts w:cs="Times New Roman"/>
          <w:sz w:val="24"/>
          <w:szCs w:val="24"/>
        </w:rPr>
        <w:t>201</w:t>
      </w:r>
      <w:r w:rsidR="006C1986">
        <w:rPr>
          <w:rFonts w:cs="Times New Roman"/>
          <w:sz w:val="24"/>
          <w:szCs w:val="24"/>
        </w:rPr>
        <w:t>2</w:t>
      </w:r>
      <w:r w:rsidR="00D83C5D" w:rsidRPr="0099279C">
        <w:rPr>
          <w:rFonts w:cs="Times New Roman"/>
          <w:sz w:val="24"/>
          <w:szCs w:val="24"/>
        </w:rPr>
        <w:t xml:space="preserve">). Because marine birds and pinnipeds typically feed exclusively on marine organisms and do not feed while on land, exposure to </w:t>
      </w:r>
      <w:r w:rsidR="00ED5069">
        <w:rPr>
          <w:rFonts w:cs="Times New Roman"/>
          <w:sz w:val="24"/>
          <w:szCs w:val="24"/>
        </w:rPr>
        <w:t>rodenticides</w:t>
      </w:r>
      <w:r w:rsidRPr="0099279C">
        <w:rPr>
          <w:rFonts w:cs="Times New Roman"/>
          <w:sz w:val="24"/>
          <w:szCs w:val="24"/>
        </w:rPr>
        <w:t xml:space="preserve"> in pellets is</w:t>
      </w:r>
      <w:r w:rsidR="00D83C5D" w:rsidRPr="0099279C">
        <w:rPr>
          <w:rFonts w:cs="Times New Roman"/>
          <w:sz w:val="24"/>
          <w:szCs w:val="24"/>
        </w:rPr>
        <w:t xml:space="preserve"> unlikely. The likelihood of secondary exposure through consumption of </w:t>
      </w:r>
      <w:r w:rsidRPr="0099279C">
        <w:rPr>
          <w:rFonts w:cs="Times New Roman"/>
          <w:sz w:val="24"/>
          <w:szCs w:val="24"/>
        </w:rPr>
        <w:t xml:space="preserve">contaminated </w:t>
      </w:r>
      <w:r w:rsidR="00D83C5D" w:rsidRPr="0099279C">
        <w:rPr>
          <w:rFonts w:cs="Times New Roman"/>
          <w:sz w:val="24"/>
          <w:szCs w:val="24"/>
        </w:rPr>
        <w:t xml:space="preserve">prey is also expected to be negligible. </w:t>
      </w:r>
    </w:p>
    <w:p w:rsidR="00C93F3C" w:rsidRPr="0099279C" w:rsidRDefault="00D83C5D" w:rsidP="0099279C">
      <w:pPr>
        <w:rPr>
          <w:rFonts w:cs="Times New Roman"/>
          <w:sz w:val="24"/>
          <w:szCs w:val="24"/>
          <w:lang w:val="en-US"/>
        </w:rPr>
      </w:pPr>
      <w:r w:rsidRPr="0099279C">
        <w:rPr>
          <w:rFonts w:cs="Times New Roman"/>
          <w:sz w:val="24"/>
          <w:szCs w:val="24"/>
        </w:rPr>
        <w:t xml:space="preserve">Western gulls </w:t>
      </w:r>
      <w:r w:rsidR="00A336DD">
        <w:rPr>
          <w:rFonts w:cs="Times New Roman"/>
          <w:sz w:val="24"/>
          <w:szCs w:val="24"/>
        </w:rPr>
        <w:t>would likely</w:t>
      </w:r>
      <w:r w:rsidRPr="0099279C">
        <w:rPr>
          <w:rFonts w:cs="Times New Roman"/>
          <w:sz w:val="24"/>
          <w:szCs w:val="24"/>
        </w:rPr>
        <w:t xml:space="preserve"> </w:t>
      </w:r>
      <w:r w:rsidR="00A336DD">
        <w:rPr>
          <w:rFonts w:cs="Times New Roman"/>
          <w:sz w:val="24"/>
          <w:szCs w:val="24"/>
        </w:rPr>
        <w:t xml:space="preserve">be </w:t>
      </w:r>
      <w:r w:rsidRPr="0099279C">
        <w:rPr>
          <w:rFonts w:cs="Times New Roman"/>
          <w:sz w:val="24"/>
          <w:szCs w:val="24"/>
        </w:rPr>
        <w:t xml:space="preserve">at risk from exposure to </w:t>
      </w:r>
      <w:r w:rsidR="00431BE6">
        <w:rPr>
          <w:rFonts w:cs="Times New Roman"/>
          <w:sz w:val="24"/>
          <w:szCs w:val="24"/>
        </w:rPr>
        <w:t>rodenticide</w:t>
      </w:r>
      <w:r w:rsidR="00431BE6" w:rsidRPr="0099279C">
        <w:rPr>
          <w:rFonts w:cs="Times New Roman"/>
          <w:sz w:val="24"/>
          <w:szCs w:val="24"/>
        </w:rPr>
        <w:t xml:space="preserve"> </w:t>
      </w:r>
      <w:r w:rsidRPr="0099279C">
        <w:rPr>
          <w:rFonts w:cs="Times New Roman"/>
          <w:sz w:val="24"/>
          <w:szCs w:val="24"/>
        </w:rPr>
        <w:t xml:space="preserve">due to their </w:t>
      </w:r>
      <w:r w:rsidR="009434FC">
        <w:rPr>
          <w:rFonts w:cs="Times New Roman"/>
          <w:sz w:val="24"/>
          <w:szCs w:val="24"/>
        </w:rPr>
        <w:t xml:space="preserve">omnivorous </w:t>
      </w:r>
      <w:r w:rsidR="009434FC" w:rsidRPr="0099279C">
        <w:rPr>
          <w:rFonts w:cs="Times New Roman"/>
          <w:sz w:val="24"/>
          <w:szCs w:val="24"/>
        </w:rPr>
        <w:t>and</w:t>
      </w:r>
      <w:r w:rsidR="00622A36" w:rsidRPr="0099279C">
        <w:rPr>
          <w:rFonts w:cs="Times New Roman"/>
          <w:sz w:val="24"/>
          <w:szCs w:val="24"/>
        </w:rPr>
        <w:t xml:space="preserve"> aggressive</w:t>
      </w:r>
      <w:r w:rsidRPr="0099279C">
        <w:rPr>
          <w:rFonts w:cs="Times New Roman"/>
          <w:sz w:val="24"/>
          <w:szCs w:val="24"/>
        </w:rPr>
        <w:t xml:space="preserve"> foraging habits. </w:t>
      </w:r>
      <w:r w:rsidR="00ED5069">
        <w:rPr>
          <w:rFonts w:cs="Times New Roman"/>
          <w:sz w:val="24"/>
          <w:szCs w:val="24"/>
        </w:rPr>
        <w:t xml:space="preserve">Risks to gulls from exposure to diphacinone are expected to </w:t>
      </w:r>
      <w:r w:rsidR="00164A1F">
        <w:rPr>
          <w:rFonts w:cs="Times New Roman"/>
          <w:sz w:val="24"/>
          <w:szCs w:val="24"/>
        </w:rPr>
        <w:t>be lower than for brodifacoum</w:t>
      </w:r>
      <w:r w:rsidR="00ED5069">
        <w:rPr>
          <w:rFonts w:cs="Times New Roman"/>
          <w:sz w:val="24"/>
          <w:szCs w:val="24"/>
        </w:rPr>
        <w:t xml:space="preserve"> because </w:t>
      </w:r>
      <w:r w:rsidR="00DE72B1">
        <w:rPr>
          <w:rFonts w:cs="Times New Roman"/>
          <w:sz w:val="24"/>
          <w:szCs w:val="24"/>
        </w:rPr>
        <w:t xml:space="preserve">the former </w:t>
      </w:r>
      <w:r w:rsidR="00164A1F">
        <w:rPr>
          <w:rFonts w:cs="Times New Roman"/>
          <w:sz w:val="24"/>
          <w:szCs w:val="24"/>
        </w:rPr>
        <w:t>is less toxic</w:t>
      </w:r>
      <w:r w:rsidR="00ED5069">
        <w:rPr>
          <w:rFonts w:cs="Times New Roman"/>
          <w:sz w:val="24"/>
          <w:szCs w:val="24"/>
        </w:rPr>
        <w:t xml:space="preserve"> to birds</w:t>
      </w:r>
      <w:r w:rsidR="00164A1F">
        <w:rPr>
          <w:rFonts w:cs="Times New Roman"/>
          <w:sz w:val="24"/>
          <w:szCs w:val="24"/>
        </w:rPr>
        <w:t xml:space="preserve"> (Erickson and Urban, 2004)</w:t>
      </w:r>
      <w:r w:rsidR="00ED5069">
        <w:rPr>
          <w:rFonts w:cs="Times New Roman"/>
          <w:sz w:val="24"/>
          <w:szCs w:val="24"/>
        </w:rPr>
        <w:t>. T</w:t>
      </w:r>
      <w:r w:rsidR="003471A4" w:rsidRPr="0099279C">
        <w:rPr>
          <w:rFonts w:cs="Times New Roman"/>
          <w:sz w:val="24"/>
          <w:szCs w:val="24"/>
        </w:rPr>
        <w:t xml:space="preserve">he purpose of this assessment is to </w:t>
      </w:r>
      <w:r w:rsidR="00431BE6">
        <w:rPr>
          <w:rFonts w:cs="Times New Roman"/>
          <w:sz w:val="24"/>
          <w:szCs w:val="24"/>
        </w:rPr>
        <w:t>assist in estimating</w:t>
      </w:r>
      <w:r w:rsidR="00431BE6" w:rsidRPr="0099279C">
        <w:rPr>
          <w:rFonts w:cs="Times New Roman"/>
          <w:sz w:val="24"/>
          <w:szCs w:val="24"/>
        </w:rPr>
        <w:t xml:space="preserve"> </w:t>
      </w:r>
      <w:r w:rsidR="003471A4" w:rsidRPr="0099279C">
        <w:rPr>
          <w:rFonts w:cs="Times New Roman"/>
          <w:sz w:val="24"/>
          <w:szCs w:val="24"/>
        </w:rPr>
        <w:t xml:space="preserve">the likelihood and magnitude of western gull mortalities arising from aerial application of </w:t>
      </w:r>
      <w:r w:rsidR="00756FEE">
        <w:rPr>
          <w:rFonts w:cs="Times New Roman"/>
          <w:sz w:val="24"/>
          <w:szCs w:val="24"/>
        </w:rPr>
        <w:t>either brodifacoum or diphacinone</w:t>
      </w:r>
      <w:r w:rsidR="00ED5069">
        <w:rPr>
          <w:rFonts w:cs="Times New Roman"/>
          <w:sz w:val="24"/>
          <w:szCs w:val="24"/>
        </w:rPr>
        <w:t xml:space="preserve"> pellets</w:t>
      </w:r>
      <w:r w:rsidR="003471A4" w:rsidRPr="0099279C">
        <w:rPr>
          <w:rFonts w:cs="Times New Roman"/>
          <w:sz w:val="24"/>
          <w:szCs w:val="24"/>
        </w:rPr>
        <w:t xml:space="preserve"> on </w:t>
      </w:r>
      <w:r w:rsidR="00992CCD">
        <w:rPr>
          <w:rFonts w:cs="Times New Roman"/>
          <w:sz w:val="24"/>
          <w:szCs w:val="24"/>
        </w:rPr>
        <w:t>SFI</w:t>
      </w:r>
      <w:r w:rsidR="003471A4" w:rsidRPr="0099279C">
        <w:rPr>
          <w:rFonts w:cs="Times New Roman"/>
          <w:sz w:val="24"/>
          <w:szCs w:val="24"/>
        </w:rPr>
        <w:t>.</w:t>
      </w:r>
      <w:r w:rsidR="00AC7023" w:rsidRPr="0099279C">
        <w:rPr>
          <w:rFonts w:cs="Times New Roman"/>
          <w:sz w:val="24"/>
          <w:szCs w:val="24"/>
        </w:rPr>
        <w:t xml:space="preserve"> This report is organized to follow the standard paradigm for ecological risk assessment: problem formulation, exposure assessment, effects assessment</w:t>
      </w:r>
      <w:r w:rsidR="00A336DD">
        <w:rPr>
          <w:rFonts w:cs="Times New Roman"/>
          <w:sz w:val="24"/>
          <w:szCs w:val="24"/>
        </w:rPr>
        <w:t>,</w:t>
      </w:r>
      <w:r w:rsidR="00AC7023" w:rsidRPr="0099279C">
        <w:rPr>
          <w:rFonts w:cs="Times New Roman"/>
          <w:sz w:val="24"/>
          <w:szCs w:val="24"/>
        </w:rPr>
        <w:t xml:space="preserve"> and risk characterization.</w:t>
      </w:r>
    </w:p>
    <w:p w:rsidR="00140DB9" w:rsidRPr="0099279C" w:rsidRDefault="00140DB9" w:rsidP="003D4D0A">
      <w:pPr>
        <w:pStyle w:val="Heading1"/>
        <w:sectPr w:rsidR="00140DB9" w:rsidRPr="0099279C" w:rsidSect="00224BBB">
          <w:pgSz w:w="12240" w:h="15840"/>
          <w:pgMar w:top="1440" w:right="1440" w:bottom="1440" w:left="1440" w:header="708" w:footer="708" w:gutter="0"/>
          <w:cols w:space="708"/>
          <w:docGrid w:linePitch="360"/>
        </w:sectPr>
      </w:pPr>
    </w:p>
    <w:p w:rsidR="0099279C" w:rsidRPr="003D4D0A" w:rsidRDefault="0099279C" w:rsidP="003D4D0A">
      <w:pPr>
        <w:pStyle w:val="Heading1"/>
      </w:pPr>
      <w:bookmarkStart w:id="8" w:name="_Toc291772789"/>
      <w:bookmarkStart w:id="9" w:name="_Toc343007911"/>
      <w:r w:rsidRPr="003D4D0A">
        <w:t>PROBLEM FORMULATION</w:t>
      </w:r>
      <w:bookmarkEnd w:id="8"/>
      <w:bookmarkEnd w:id="9"/>
    </w:p>
    <w:p w:rsidR="004B79D6" w:rsidRDefault="00323713" w:rsidP="009A6FD2">
      <w:pPr>
        <w:contextualSpacing/>
        <w:rPr>
          <w:rFonts w:cs="Times New Roman"/>
          <w:sz w:val="24"/>
          <w:szCs w:val="24"/>
          <w:lang w:val="en-US"/>
        </w:rPr>
      </w:pPr>
      <w:r>
        <w:rPr>
          <w:rFonts w:cs="Times New Roman"/>
          <w:sz w:val="24"/>
          <w:szCs w:val="24"/>
          <w:lang w:val="en-US"/>
        </w:rPr>
        <w:t>For this report</w:t>
      </w:r>
      <w:r w:rsidR="009A6FD2" w:rsidRPr="0099279C">
        <w:rPr>
          <w:rFonts w:cs="Times New Roman"/>
          <w:sz w:val="24"/>
          <w:szCs w:val="24"/>
          <w:lang w:val="en-US"/>
        </w:rPr>
        <w:t xml:space="preserve">, the timing of the aerial broadcast </w:t>
      </w:r>
      <w:r w:rsidR="00C86B4D" w:rsidRPr="0099279C">
        <w:rPr>
          <w:rFonts w:cs="Times New Roman"/>
          <w:sz w:val="24"/>
          <w:szCs w:val="24"/>
          <w:lang w:val="en-US"/>
        </w:rPr>
        <w:t xml:space="preserve">of </w:t>
      </w:r>
      <w:r w:rsidR="00A14345">
        <w:rPr>
          <w:rFonts w:cs="Times New Roman"/>
          <w:sz w:val="24"/>
          <w:szCs w:val="24"/>
          <w:lang w:val="en-US"/>
        </w:rPr>
        <w:t>rodenticide</w:t>
      </w:r>
      <w:r w:rsidR="00C86B4D" w:rsidRPr="0099279C">
        <w:rPr>
          <w:rFonts w:cs="Times New Roman"/>
          <w:sz w:val="24"/>
          <w:szCs w:val="24"/>
          <w:lang w:val="en-US"/>
        </w:rPr>
        <w:t xml:space="preserve"> </w:t>
      </w:r>
      <w:r w:rsidR="00EA0F74">
        <w:rPr>
          <w:rFonts w:cs="Times New Roman"/>
          <w:sz w:val="24"/>
          <w:szCs w:val="24"/>
          <w:lang w:val="en-US"/>
        </w:rPr>
        <w:t>was forecast</w:t>
      </w:r>
      <w:r w:rsidR="00EA0F74" w:rsidRPr="0099279C">
        <w:rPr>
          <w:rFonts w:cs="Times New Roman"/>
          <w:sz w:val="24"/>
          <w:szCs w:val="24"/>
          <w:lang w:val="en-US"/>
        </w:rPr>
        <w:t xml:space="preserve"> </w:t>
      </w:r>
      <w:r w:rsidR="00EA0F74">
        <w:rPr>
          <w:rFonts w:cs="Times New Roman"/>
          <w:sz w:val="24"/>
          <w:szCs w:val="24"/>
          <w:lang w:val="en-US"/>
        </w:rPr>
        <w:t xml:space="preserve">to </w:t>
      </w:r>
      <w:r w:rsidR="009A6FD2" w:rsidRPr="0099279C">
        <w:rPr>
          <w:rFonts w:cs="Times New Roman"/>
          <w:sz w:val="24"/>
          <w:szCs w:val="24"/>
          <w:lang w:val="en-US"/>
        </w:rPr>
        <w:t>occur in the late fall or early winter (i.e., November or December)</w:t>
      </w:r>
      <w:r w:rsidR="00EA0F74">
        <w:rPr>
          <w:rFonts w:cs="Times New Roman"/>
          <w:sz w:val="24"/>
          <w:szCs w:val="24"/>
          <w:lang w:val="en-US"/>
        </w:rPr>
        <w:t>. This time of year is when the lowest number</w:t>
      </w:r>
      <w:r w:rsidR="000B48DD">
        <w:rPr>
          <w:rFonts w:cs="Times New Roman"/>
          <w:sz w:val="24"/>
          <w:szCs w:val="24"/>
          <w:lang w:val="en-US"/>
        </w:rPr>
        <w:t>s</w:t>
      </w:r>
      <w:r>
        <w:rPr>
          <w:rFonts w:cs="Times New Roman"/>
          <w:sz w:val="24"/>
          <w:szCs w:val="24"/>
          <w:lang w:val="en-US"/>
        </w:rPr>
        <w:t xml:space="preserve"> </w:t>
      </w:r>
      <w:r w:rsidR="00EA0F74">
        <w:rPr>
          <w:rFonts w:cs="Times New Roman"/>
          <w:sz w:val="24"/>
          <w:szCs w:val="24"/>
          <w:lang w:val="en-US"/>
        </w:rPr>
        <w:t xml:space="preserve">of </w:t>
      </w:r>
      <w:r>
        <w:rPr>
          <w:rFonts w:cs="Times New Roman"/>
          <w:sz w:val="24"/>
          <w:szCs w:val="24"/>
          <w:lang w:val="en-US"/>
        </w:rPr>
        <w:t xml:space="preserve">non-target species </w:t>
      </w:r>
      <w:r w:rsidR="00EA0F74">
        <w:rPr>
          <w:rFonts w:cs="Times New Roman"/>
          <w:sz w:val="24"/>
          <w:szCs w:val="24"/>
          <w:lang w:val="en-US"/>
        </w:rPr>
        <w:t xml:space="preserve">are present </w:t>
      </w:r>
      <w:r>
        <w:rPr>
          <w:rFonts w:cs="Times New Roman"/>
          <w:sz w:val="24"/>
          <w:szCs w:val="24"/>
          <w:lang w:val="en-US"/>
        </w:rPr>
        <w:t>on the island</w:t>
      </w:r>
      <w:r w:rsidR="000B48DD">
        <w:rPr>
          <w:rFonts w:cs="Times New Roman"/>
          <w:sz w:val="24"/>
          <w:szCs w:val="24"/>
          <w:lang w:val="en-US"/>
        </w:rPr>
        <w:t>.</w:t>
      </w:r>
      <w:r w:rsidR="00EA0F74">
        <w:rPr>
          <w:rFonts w:cs="Times New Roman"/>
          <w:sz w:val="24"/>
          <w:szCs w:val="24"/>
          <w:lang w:val="en-US"/>
        </w:rPr>
        <w:t xml:space="preserve"> </w:t>
      </w:r>
      <w:r w:rsidR="000B48DD">
        <w:rPr>
          <w:rFonts w:cs="Times New Roman"/>
          <w:sz w:val="24"/>
          <w:szCs w:val="24"/>
          <w:lang w:val="en-US"/>
        </w:rPr>
        <w:t>T</w:t>
      </w:r>
      <w:r w:rsidR="00EA0F74">
        <w:rPr>
          <w:rFonts w:cs="Times New Roman"/>
          <w:sz w:val="24"/>
          <w:szCs w:val="24"/>
          <w:lang w:val="en-US"/>
        </w:rPr>
        <w:t xml:space="preserve">iming the operation for this period would </w:t>
      </w:r>
      <w:r w:rsidR="009A6FD2" w:rsidRPr="0099279C">
        <w:rPr>
          <w:rFonts w:cs="Times New Roman"/>
          <w:sz w:val="24"/>
          <w:szCs w:val="24"/>
          <w:lang w:val="en-US"/>
        </w:rPr>
        <w:t xml:space="preserve">provide the </w:t>
      </w:r>
      <w:r w:rsidR="00EA0F74">
        <w:rPr>
          <w:rFonts w:cs="Times New Roman"/>
          <w:sz w:val="24"/>
          <w:szCs w:val="24"/>
          <w:lang w:val="en-US"/>
        </w:rPr>
        <w:t xml:space="preserve">least risk to the </w:t>
      </w:r>
      <w:r w:rsidR="009A6FD2" w:rsidRPr="0099279C">
        <w:rPr>
          <w:rFonts w:cs="Times New Roman"/>
          <w:sz w:val="24"/>
          <w:szCs w:val="24"/>
          <w:lang w:val="en-US"/>
        </w:rPr>
        <w:t>island</w:t>
      </w:r>
      <w:r w:rsidR="00EA0F74">
        <w:rPr>
          <w:rFonts w:cs="Times New Roman"/>
          <w:sz w:val="24"/>
          <w:szCs w:val="24"/>
          <w:lang w:val="en-US"/>
        </w:rPr>
        <w:t>’s native</w:t>
      </w:r>
      <w:r w:rsidR="009A6FD2" w:rsidRPr="0099279C">
        <w:rPr>
          <w:rFonts w:cs="Times New Roman"/>
          <w:sz w:val="24"/>
          <w:szCs w:val="24"/>
          <w:lang w:val="en-US"/>
        </w:rPr>
        <w:t xml:space="preserve"> biota</w:t>
      </w:r>
      <w:r w:rsidR="00C86B4D" w:rsidRPr="0099279C">
        <w:rPr>
          <w:rFonts w:cs="Times New Roman"/>
          <w:sz w:val="24"/>
          <w:szCs w:val="24"/>
          <w:lang w:val="en-US"/>
        </w:rPr>
        <w:t>. The months of November and December occur</w:t>
      </w:r>
      <w:r w:rsidR="009A6FD2" w:rsidRPr="0099279C">
        <w:rPr>
          <w:rFonts w:cs="Times New Roman"/>
          <w:sz w:val="24"/>
          <w:szCs w:val="24"/>
          <w:lang w:val="en-US"/>
        </w:rPr>
        <w:t xml:space="preserve"> after the summer breeding season for seabirds, sea lions, and fur seals </w:t>
      </w:r>
      <w:r w:rsidR="00C86B4D" w:rsidRPr="0099279C">
        <w:rPr>
          <w:rFonts w:cs="Times New Roman"/>
          <w:sz w:val="24"/>
          <w:szCs w:val="24"/>
          <w:lang w:val="en-US"/>
        </w:rPr>
        <w:t>and</w:t>
      </w:r>
      <w:r w:rsidR="009A6FD2" w:rsidRPr="0099279C">
        <w:rPr>
          <w:rFonts w:cs="Times New Roman"/>
          <w:sz w:val="24"/>
          <w:szCs w:val="24"/>
          <w:lang w:val="en-US"/>
        </w:rPr>
        <w:t xml:space="preserve"> before female northern elephant seals have started giving birth in the early winter</w:t>
      </w:r>
      <w:r>
        <w:rPr>
          <w:rFonts w:cs="Times New Roman"/>
          <w:sz w:val="24"/>
          <w:szCs w:val="24"/>
          <w:lang w:val="en-US"/>
        </w:rPr>
        <w:t xml:space="preserve"> (PRBO unpublished data)</w:t>
      </w:r>
      <w:r w:rsidR="009A6FD2" w:rsidRPr="0099279C">
        <w:rPr>
          <w:rFonts w:cs="Times New Roman"/>
          <w:sz w:val="24"/>
          <w:szCs w:val="24"/>
          <w:lang w:val="en-US"/>
        </w:rPr>
        <w:t xml:space="preserve">. </w:t>
      </w:r>
    </w:p>
    <w:p w:rsidR="004B79D6" w:rsidRDefault="004B79D6" w:rsidP="009A6FD2">
      <w:pPr>
        <w:contextualSpacing/>
        <w:rPr>
          <w:rFonts w:cs="Times New Roman"/>
          <w:sz w:val="24"/>
          <w:szCs w:val="24"/>
          <w:lang w:val="en-US"/>
        </w:rPr>
      </w:pPr>
    </w:p>
    <w:p w:rsidR="004B79D6" w:rsidRDefault="004B79D6" w:rsidP="004B79D6">
      <w:pPr>
        <w:contextualSpacing/>
        <w:rPr>
          <w:rFonts w:cs="Times New Roman"/>
          <w:sz w:val="24"/>
          <w:szCs w:val="24"/>
          <w:lang w:val="en-US"/>
        </w:rPr>
      </w:pPr>
      <w:r w:rsidRPr="0099279C">
        <w:rPr>
          <w:rFonts w:cs="Times New Roman"/>
          <w:sz w:val="24"/>
          <w:szCs w:val="24"/>
          <w:lang w:val="en-US"/>
        </w:rPr>
        <w:t xml:space="preserve">There are two general groups of anticoagulants used as rodenticides: the hydroxycoumarins (e.g., warfarin) and the indandiones (e.g., pindone, valone, diphacinone, and chlorophacinone). The second generation anticoagulants (e.g., bromadiolone, brodifacoum, and difethialone) are closely akin to the hydroxycoumarin group (ICWDM, 2005). Second generation anticoagulant rodenticides (SGARs) are much more potent than are first generation anticoagulants, making them effective for rodent eradications (ICWDM, 2005). When formulated at their current concentrations, they have the ability to kill a high percentage of </w:t>
      </w:r>
      <w:r w:rsidR="00EA0F74">
        <w:rPr>
          <w:rFonts w:cs="Times New Roman"/>
          <w:sz w:val="24"/>
          <w:szCs w:val="24"/>
          <w:lang w:val="en-US"/>
        </w:rPr>
        <w:t>individuals</w:t>
      </w:r>
      <w:r w:rsidRPr="0099279C">
        <w:rPr>
          <w:rFonts w:cs="Times New Roman"/>
          <w:sz w:val="24"/>
          <w:szCs w:val="24"/>
          <w:lang w:val="en-US"/>
        </w:rPr>
        <w:t xml:space="preserve"> </w:t>
      </w:r>
      <w:r w:rsidR="00EA0F74">
        <w:rPr>
          <w:rFonts w:cs="Times New Roman"/>
          <w:sz w:val="24"/>
          <w:szCs w:val="24"/>
          <w:lang w:val="en-US"/>
        </w:rPr>
        <w:t xml:space="preserve">after </w:t>
      </w:r>
      <w:r w:rsidRPr="0099279C">
        <w:rPr>
          <w:rFonts w:cs="Times New Roman"/>
          <w:sz w:val="24"/>
          <w:szCs w:val="24"/>
          <w:lang w:val="en-US"/>
        </w:rPr>
        <w:t xml:space="preserve">a single feed. The effects of these compounds are also cumulative and often result in death after several feedings of even small amounts. These properties make SGARs effective primary rodenticides and they have become extremely important for rodent control worldwide (e.g., in New Zealand: Taylor and Thomas, 1989, 1993, Imber et al., 2000; in Canada: Howald, 1997; in the United States: Ebbert et al., 2007, Howald et al., 2009; in Antigua: Daltry, 2006; in Mexico: Samaniego-Herrera et al., 2009). Of the </w:t>
      </w:r>
      <w:r>
        <w:rPr>
          <w:rFonts w:cs="Times New Roman"/>
          <w:sz w:val="24"/>
          <w:szCs w:val="24"/>
          <w:lang w:val="en-US"/>
        </w:rPr>
        <w:t>rodenticide</w:t>
      </w:r>
      <w:r w:rsidRPr="0099279C">
        <w:rPr>
          <w:rFonts w:cs="Times New Roman"/>
          <w:sz w:val="24"/>
          <w:szCs w:val="24"/>
          <w:lang w:val="en-US"/>
        </w:rPr>
        <w:t>s, brodifacoum has been the most extensively u</w:t>
      </w:r>
      <w:r>
        <w:rPr>
          <w:rFonts w:cs="Times New Roman"/>
          <w:sz w:val="24"/>
          <w:szCs w:val="24"/>
          <w:lang w:val="en-US"/>
        </w:rPr>
        <w:t>s</w:t>
      </w:r>
      <w:r w:rsidRPr="0099279C">
        <w:rPr>
          <w:rFonts w:cs="Times New Roman"/>
          <w:sz w:val="24"/>
          <w:szCs w:val="24"/>
          <w:lang w:val="en-US"/>
        </w:rPr>
        <w:t>ed for rodent eradication from islands (</w:t>
      </w:r>
      <w:r>
        <w:rPr>
          <w:rFonts w:cs="Times New Roman"/>
          <w:sz w:val="24"/>
          <w:szCs w:val="24"/>
          <w:lang w:val="en-US"/>
        </w:rPr>
        <w:t>Howald et al., 2007</w:t>
      </w:r>
      <w:r w:rsidRPr="0099279C">
        <w:rPr>
          <w:rFonts w:cs="Times New Roman"/>
          <w:sz w:val="24"/>
          <w:szCs w:val="24"/>
          <w:lang w:val="en-US"/>
        </w:rPr>
        <w:t xml:space="preserve">). Indeed, </w:t>
      </w:r>
      <w:r>
        <w:rPr>
          <w:rFonts w:cs="Times New Roman"/>
          <w:sz w:val="24"/>
          <w:szCs w:val="24"/>
          <w:lang w:val="en-US"/>
        </w:rPr>
        <w:t xml:space="preserve">Parkes </w:t>
      </w:r>
      <w:r w:rsidRPr="0099279C">
        <w:rPr>
          <w:rFonts w:cs="Times New Roman"/>
          <w:sz w:val="24"/>
          <w:szCs w:val="24"/>
          <w:lang w:val="en-US"/>
        </w:rPr>
        <w:t>et al. (20</w:t>
      </w:r>
      <w:r>
        <w:rPr>
          <w:rFonts w:cs="Times New Roman"/>
          <w:sz w:val="24"/>
          <w:szCs w:val="24"/>
          <w:lang w:val="en-US"/>
        </w:rPr>
        <w:t>11</w:t>
      </w:r>
      <w:r w:rsidRPr="0099279C">
        <w:rPr>
          <w:rFonts w:cs="Times New Roman"/>
          <w:sz w:val="24"/>
          <w:szCs w:val="24"/>
          <w:lang w:val="en-US"/>
        </w:rPr>
        <w:t xml:space="preserve">) reported that </w:t>
      </w:r>
      <w:r>
        <w:rPr>
          <w:rFonts w:cs="Times New Roman"/>
          <w:sz w:val="24"/>
          <w:szCs w:val="24"/>
          <w:lang w:val="en-US"/>
        </w:rPr>
        <w:t xml:space="preserve">brodifacoum was used in 396 </w:t>
      </w:r>
      <w:r w:rsidRPr="0099279C">
        <w:rPr>
          <w:rFonts w:cs="Times New Roman"/>
          <w:sz w:val="24"/>
          <w:szCs w:val="24"/>
          <w:lang w:val="en-US"/>
        </w:rPr>
        <w:t xml:space="preserve">of </w:t>
      </w:r>
      <w:r>
        <w:rPr>
          <w:rFonts w:cs="Times New Roman"/>
          <w:sz w:val="24"/>
          <w:szCs w:val="24"/>
          <w:lang w:val="en-US"/>
        </w:rPr>
        <w:t>546</w:t>
      </w:r>
      <w:r w:rsidRPr="0099279C">
        <w:rPr>
          <w:rFonts w:cs="Times New Roman"/>
          <w:sz w:val="24"/>
          <w:szCs w:val="24"/>
          <w:lang w:val="en-US"/>
        </w:rPr>
        <w:t xml:space="preserve"> rodent eradication efforts </w:t>
      </w:r>
      <w:r>
        <w:rPr>
          <w:rFonts w:cs="Times New Roman"/>
          <w:sz w:val="24"/>
          <w:szCs w:val="24"/>
          <w:lang w:val="en-US"/>
        </w:rPr>
        <w:t>that were attempted worldwide from 1971 to 2011</w:t>
      </w:r>
      <w:r w:rsidRPr="0099279C">
        <w:rPr>
          <w:rFonts w:cs="Times New Roman"/>
          <w:sz w:val="24"/>
          <w:szCs w:val="24"/>
          <w:lang w:val="en-US"/>
        </w:rPr>
        <w:t>.</w:t>
      </w:r>
      <w:r>
        <w:rPr>
          <w:rFonts w:cs="Times New Roman"/>
          <w:sz w:val="24"/>
          <w:szCs w:val="24"/>
          <w:lang w:val="en-US"/>
        </w:rPr>
        <w:t xml:space="preserve"> Diphacinone was used in 50 of those eradication efforts.</w:t>
      </w:r>
    </w:p>
    <w:p w:rsidR="004B79D6" w:rsidRPr="0099279C" w:rsidRDefault="004B79D6" w:rsidP="004B79D6">
      <w:pPr>
        <w:contextualSpacing/>
        <w:rPr>
          <w:rFonts w:cs="Times New Roman"/>
          <w:sz w:val="24"/>
          <w:szCs w:val="24"/>
          <w:lang w:val="en-US"/>
        </w:rPr>
      </w:pPr>
    </w:p>
    <w:p w:rsidR="009A6FD2" w:rsidRPr="0099279C" w:rsidRDefault="00A14345" w:rsidP="009A6FD2">
      <w:pPr>
        <w:contextualSpacing/>
        <w:rPr>
          <w:rFonts w:cs="Times New Roman"/>
          <w:sz w:val="24"/>
          <w:szCs w:val="24"/>
          <w:lang w:val="en-US"/>
        </w:rPr>
      </w:pPr>
      <w:r>
        <w:rPr>
          <w:rFonts w:cs="Times New Roman"/>
          <w:sz w:val="24"/>
          <w:szCs w:val="24"/>
          <w:lang w:val="en-US"/>
        </w:rPr>
        <w:t>In this chapter, the environmental fate and toxicity of the two rodenticides under consideration, brodifacoum and diphacinone, are briefly reviewed. We then review the foraging behavior and diet of the focal species for this assessment, the western gull, to determine potential routes of exposure. The remainder of the problem formulation describes the assessment and measurement endpoints and analysis plan for the assessment.</w:t>
      </w:r>
    </w:p>
    <w:p w:rsidR="009A6FD2" w:rsidRPr="0099279C" w:rsidRDefault="00F57456" w:rsidP="00602691">
      <w:pPr>
        <w:pStyle w:val="Heading2"/>
      </w:pPr>
      <w:bookmarkStart w:id="10" w:name="_Toc343007912"/>
      <w:r w:rsidRPr="0099279C">
        <w:t>Brodifacoum</w:t>
      </w:r>
      <w:bookmarkEnd w:id="10"/>
      <w:r w:rsidRPr="0099279C">
        <w:t xml:space="preserve"> </w:t>
      </w:r>
    </w:p>
    <w:p w:rsidR="009A6FD2" w:rsidRPr="0099279C" w:rsidRDefault="009A6FD2" w:rsidP="009A6FD2">
      <w:pPr>
        <w:contextualSpacing/>
        <w:rPr>
          <w:rFonts w:cs="Times New Roman"/>
          <w:sz w:val="24"/>
          <w:szCs w:val="24"/>
          <w:lang w:val="en-US"/>
        </w:rPr>
      </w:pPr>
      <w:r w:rsidRPr="0099279C">
        <w:rPr>
          <w:rFonts w:cs="Times New Roman"/>
          <w:sz w:val="24"/>
          <w:szCs w:val="24"/>
          <w:lang w:val="en-US"/>
        </w:rPr>
        <w:t>Brodifacoum</w:t>
      </w:r>
      <w:r w:rsidR="0068044F" w:rsidRPr="0099279C">
        <w:rPr>
          <w:rFonts w:cs="Times New Roman"/>
          <w:sz w:val="24"/>
          <w:szCs w:val="24"/>
          <w:lang w:val="en-US"/>
        </w:rPr>
        <w:t xml:space="preserve"> </w:t>
      </w:r>
      <w:r w:rsidRPr="0099279C">
        <w:rPr>
          <w:rFonts w:cs="Times New Roman"/>
          <w:sz w:val="24"/>
          <w:szCs w:val="24"/>
          <w:lang w:val="en-US"/>
        </w:rPr>
        <w:t>elicit</w:t>
      </w:r>
      <w:r w:rsidR="00A14345">
        <w:rPr>
          <w:rFonts w:cs="Times New Roman"/>
          <w:sz w:val="24"/>
          <w:szCs w:val="24"/>
          <w:lang w:val="en-US"/>
        </w:rPr>
        <w:t>s</w:t>
      </w:r>
      <w:r w:rsidRPr="0099279C">
        <w:rPr>
          <w:rFonts w:cs="Times New Roman"/>
          <w:sz w:val="24"/>
          <w:szCs w:val="24"/>
          <w:lang w:val="en-US"/>
        </w:rPr>
        <w:t xml:space="preserve"> acute toxicity by inhibiting the synthesis of vitamin K, which leads to increased coagulation times, followed by lethal internal hemorrhage (</w:t>
      </w:r>
      <w:r w:rsidR="00872AE3" w:rsidRPr="0099279C">
        <w:rPr>
          <w:rFonts w:cs="Times New Roman"/>
          <w:sz w:val="24"/>
          <w:szCs w:val="24"/>
          <w:lang w:val="en-US"/>
        </w:rPr>
        <w:t>Erickson and Urban</w:t>
      </w:r>
      <w:r w:rsidRPr="0099279C">
        <w:rPr>
          <w:rFonts w:cs="Times New Roman"/>
          <w:sz w:val="24"/>
          <w:szCs w:val="24"/>
          <w:lang w:val="en-US"/>
        </w:rPr>
        <w:t xml:space="preserve">, 2004). A lethal dose is generally achieved after a single feeding, but mortality is usually delayed for 5 </w:t>
      </w:r>
      <w:r w:rsidR="0068044F" w:rsidRPr="0099279C">
        <w:rPr>
          <w:rFonts w:cs="Times New Roman"/>
          <w:sz w:val="24"/>
          <w:szCs w:val="24"/>
          <w:lang w:val="en-US"/>
        </w:rPr>
        <w:t>or more</w:t>
      </w:r>
      <w:r w:rsidRPr="0099279C">
        <w:rPr>
          <w:rFonts w:cs="Times New Roman"/>
          <w:sz w:val="24"/>
          <w:szCs w:val="24"/>
          <w:lang w:val="en-US"/>
        </w:rPr>
        <w:t xml:space="preserve"> days (</w:t>
      </w:r>
      <w:r w:rsidR="00872AE3" w:rsidRPr="0099279C">
        <w:rPr>
          <w:rFonts w:cs="Times New Roman"/>
          <w:sz w:val="24"/>
          <w:szCs w:val="24"/>
          <w:lang w:val="en-US"/>
        </w:rPr>
        <w:t>Erickson and Urban</w:t>
      </w:r>
      <w:r w:rsidRPr="0099279C">
        <w:rPr>
          <w:rFonts w:cs="Times New Roman"/>
          <w:sz w:val="24"/>
          <w:szCs w:val="24"/>
          <w:lang w:val="en-US"/>
        </w:rPr>
        <w:t xml:space="preserve">, 2004). Given that, vitamin K also plays a role in bone metabolism </w:t>
      </w:r>
      <w:r w:rsidR="0068044F" w:rsidRPr="0099279C">
        <w:rPr>
          <w:rFonts w:cs="Times New Roman"/>
          <w:sz w:val="24"/>
          <w:szCs w:val="24"/>
          <w:lang w:val="en-US"/>
        </w:rPr>
        <w:t>(</w:t>
      </w:r>
      <w:r w:rsidRPr="0099279C">
        <w:rPr>
          <w:rFonts w:cs="Times New Roman"/>
          <w:sz w:val="24"/>
          <w:szCs w:val="24"/>
          <w:lang w:val="en-US"/>
        </w:rPr>
        <w:t>Weber</w:t>
      </w:r>
      <w:r w:rsidR="0068044F" w:rsidRPr="0099279C">
        <w:rPr>
          <w:rFonts w:cs="Times New Roman"/>
          <w:sz w:val="24"/>
          <w:szCs w:val="24"/>
          <w:lang w:val="en-US"/>
        </w:rPr>
        <w:t>,</w:t>
      </w:r>
      <w:r w:rsidRPr="0099279C">
        <w:rPr>
          <w:rFonts w:cs="Times New Roman"/>
          <w:sz w:val="24"/>
          <w:szCs w:val="24"/>
          <w:lang w:val="en-US"/>
        </w:rPr>
        <w:t xml:space="preserve"> 2001)</w:t>
      </w:r>
      <w:r w:rsidR="00D11CA9">
        <w:rPr>
          <w:rFonts w:cs="Times New Roman"/>
          <w:sz w:val="24"/>
          <w:szCs w:val="24"/>
          <w:lang w:val="en-US"/>
        </w:rPr>
        <w:t>.</w:t>
      </w:r>
      <w:r w:rsidRPr="0099279C">
        <w:rPr>
          <w:rFonts w:cs="Times New Roman"/>
          <w:sz w:val="24"/>
          <w:szCs w:val="24"/>
          <w:lang w:val="en-US"/>
        </w:rPr>
        <w:t xml:space="preserve"> </w:t>
      </w:r>
      <w:r w:rsidR="00D11CA9">
        <w:rPr>
          <w:rFonts w:cs="Times New Roman"/>
          <w:sz w:val="24"/>
          <w:szCs w:val="24"/>
          <w:lang w:val="en-US"/>
        </w:rPr>
        <w:t>S</w:t>
      </w:r>
      <w:r w:rsidRPr="0099279C">
        <w:rPr>
          <w:rFonts w:cs="Times New Roman"/>
          <w:sz w:val="24"/>
          <w:szCs w:val="24"/>
          <w:lang w:val="en-US"/>
        </w:rPr>
        <w:t>tudies have been conducted to assess the hypothesis that exposure of non-target species to sub-lethal concentrations of SGARs may exhibit decreased bone density and bone strength</w:t>
      </w:r>
      <w:r w:rsidR="0068044F" w:rsidRPr="0099279C">
        <w:rPr>
          <w:rFonts w:cs="Times New Roman"/>
          <w:sz w:val="24"/>
          <w:szCs w:val="24"/>
          <w:lang w:val="en-US"/>
        </w:rPr>
        <w:t>. Such effects place non-target species at risk of</w:t>
      </w:r>
      <w:r w:rsidRPr="0099279C">
        <w:rPr>
          <w:rFonts w:cs="Times New Roman"/>
          <w:sz w:val="24"/>
          <w:szCs w:val="24"/>
          <w:lang w:val="en-US"/>
        </w:rPr>
        <w:t xml:space="preserve"> </w:t>
      </w:r>
      <w:r w:rsidR="0068044F" w:rsidRPr="0099279C">
        <w:rPr>
          <w:rFonts w:cs="Times New Roman"/>
          <w:sz w:val="24"/>
          <w:szCs w:val="24"/>
          <w:lang w:val="en-US"/>
        </w:rPr>
        <w:t xml:space="preserve">bone </w:t>
      </w:r>
      <w:r w:rsidRPr="0099279C">
        <w:rPr>
          <w:rFonts w:cs="Times New Roman"/>
          <w:sz w:val="24"/>
          <w:szCs w:val="24"/>
          <w:lang w:val="en-US"/>
        </w:rPr>
        <w:t xml:space="preserve">fractures (Mineau et al., 2005; Knopper et al., 2007) </w:t>
      </w:r>
      <w:r w:rsidR="00946418" w:rsidRPr="0099279C">
        <w:rPr>
          <w:rFonts w:cs="Times New Roman"/>
          <w:sz w:val="24"/>
          <w:szCs w:val="24"/>
          <w:lang w:val="en-US"/>
        </w:rPr>
        <w:t>in addition to</w:t>
      </w:r>
      <w:r w:rsidRPr="0099279C">
        <w:rPr>
          <w:rFonts w:cs="Times New Roman"/>
          <w:sz w:val="24"/>
          <w:szCs w:val="24"/>
          <w:lang w:val="en-US"/>
        </w:rPr>
        <w:t xml:space="preserve"> hemorrhag</w:t>
      </w:r>
      <w:r w:rsidR="00946418" w:rsidRPr="0099279C">
        <w:rPr>
          <w:rFonts w:cs="Times New Roman"/>
          <w:sz w:val="24"/>
          <w:szCs w:val="24"/>
          <w:lang w:val="en-US"/>
        </w:rPr>
        <w:t>ing</w:t>
      </w:r>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9A6FD2" w:rsidRPr="0099279C" w:rsidRDefault="009A6FD2" w:rsidP="009A6FD2">
      <w:pPr>
        <w:contextualSpacing/>
        <w:rPr>
          <w:rFonts w:cs="Times New Roman"/>
          <w:sz w:val="24"/>
          <w:szCs w:val="24"/>
          <w:lang w:val="en-US"/>
        </w:rPr>
      </w:pPr>
      <w:r w:rsidRPr="0099279C">
        <w:rPr>
          <w:rFonts w:cs="Times New Roman"/>
          <w:sz w:val="24"/>
          <w:szCs w:val="24"/>
          <w:lang w:val="en-US"/>
        </w:rPr>
        <w:t>The high acute toxicity of SGAR</w:t>
      </w:r>
      <w:r w:rsidR="00A14345">
        <w:rPr>
          <w:rFonts w:cs="Times New Roman"/>
          <w:sz w:val="24"/>
          <w:szCs w:val="24"/>
          <w:lang w:val="en-US"/>
        </w:rPr>
        <w:t>s</w:t>
      </w:r>
      <w:r w:rsidRPr="0099279C">
        <w:rPr>
          <w:rFonts w:cs="Times New Roman"/>
          <w:sz w:val="24"/>
          <w:szCs w:val="24"/>
          <w:lang w:val="en-US"/>
        </w:rPr>
        <w:t xml:space="preserve"> and </w:t>
      </w:r>
      <w:r w:rsidR="00946418" w:rsidRPr="0099279C">
        <w:rPr>
          <w:rFonts w:cs="Times New Roman"/>
          <w:sz w:val="24"/>
          <w:szCs w:val="24"/>
          <w:lang w:val="en-US"/>
        </w:rPr>
        <w:t>persistence in tissues create</w:t>
      </w:r>
      <w:r w:rsidRPr="0099279C">
        <w:rPr>
          <w:rFonts w:cs="Times New Roman"/>
          <w:sz w:val="24"/>
          <w:szCs w:val="24"/>
          <w:lang w:val="en-US"/>
        </w:rPr>
        <w:t xml:space="preserve"> the potential for secondary exposure in predatory birds and mammals that feed upon exposed rodents. E</w:t>
      </w:r>
      <w:r w:rsidR="00872AE3" w:rsidRPr="0099279C">
        <w:rPr>
          <w:rFonts w:cs="Times New Roman"/>
          <w:sz w:val="24"/>
          <w:szCs w:val="24"/>
          <w:lang w:val="en-US"/>
        </w:rPr>
        <w:t>rickson and Urban</w:t>
      </w:r>
      <w:r w:rsidRPr="0099279C">
        <w:rPr>
          <w:rFonts w:cs="Times New Roman"/>
          <w:sz w:val="24"/>
          <w:szCs w:val="24"/>
          <w:lang w:val="en-US"/>
        </w:rPr>
        <w:t xml:space="preserve"> (2004) stated that </w:t>
      </w:r>
      <w:r w:rsidR="00946418" w:rsidRPr="0099279C">
        <w:rPr>
          <w:rFonts w:cs="Times New Roman"/>
          <w:sz w:val="24"/>
          <w:szCs w:val="24"/>
          <w:lang w:val="en-US"/>
        </w:rPr>
        <w:t>brodifacoum</w:t>
      </w:r>
      <w:r w:rsidRPr="0099279C">
        <w:rPr>
          <w:rFonts w:cs="Times New Roman"/>
          <w:sz w:val="24"/>
          <w:szCs w:val="24"/>
          <w:lang w:val="en-US"/>
        </w:rPr>
        <w:t xml:space="preserve"> </w:t>
      </w:r>
      <w:r w:rsidR="0021090E">
        <w:rPr>
          <w:rFonts w:cs="Times New Roman"/>
          <w:sz w:val="24"/>
          <w:szCs w:val="24"/>
          <w:lang w:val="en-US"/>
        </w:rPr>
        <w:t>poses a greater</w:t>
      </w:r>
      <w:r w:rsidRPr="0099279C">
        <w:rPr>
          <w:rFonts w:cs="Times New Roman"/>
          <w:sz w:val="24"/>
          <w:szCs w:val="24"/>
          <w:lang w:val="en-US"/>
        </w:rPr>
        <w:t xml:space="preserve"> risk to birds and non-target mammals</w:t>
      </w:r>
      <w:r w:rsidR="0021090E">
        <w:rPr>
          <w:rFonts w:cs="Times New Roman"/>
          <w:sz w:val="24"/>
          <w:szCs w:val="24"/>
          <w:lang w:val="en-US"/>
        </w:rPr>
        <w:t xml:space="preserve"> than diphacinone</w:t>
      </w:r>
      <w:r w:rsidRPr="0099279C">
        <w:rPr>
          <w:rFonts w:cs="Times New Roman"/>
          <w:sz w:val="24"/>
          <w:szCs w:val="24"/>
          <w:lang w:val="en-US"/>
        </w:rPr>
        <w:t xml:space="preserve">. Mortality incidents have been documented </w:t>
      </w:r>
      <w:r w:rsidR="001E5F23">
        <w:rPr>
          <w:rFonts w:cs="Times New Roman"/>
          <w:sz w:val="24"/>
          <w:szCs w:val="24"/>
          <w:lang w:val="en-US"/>
        </w:rPr>
        <w:t>for many</w:t>
      </w:r>
      <w:r w:rsidRPr="0099279C">
        <w:rPr>
          <w:rFonts w:cs="Times New Roman"/>
          <w:sz w:val="24"/>
          <w:szCs w:val="24"/>
          <w:lang w:val="en-US"/>
        </w:rPr>
        <w:t xml:space="preserve"> non-target predators</w:t>
      </w:r>
      <w:r w:rsidR="0021090E">
        <w:rPr>
          <w:rFonts w:cs="Times New Roman"/>
          <w:sz w:val="24"/>
          <w:szCs w:val="24"/>
          <w:lang w:val="en-US"/>
        </w:rPr>
        <w:t xml:space="preserve"> exposed to brodifacoum</w:t>
      </w:r>
      <w:r w:rsidRPr="0099279C">
        <w:rPr>
          <w:rFonts w:cs="Times New Roman"/>
          <w:sz w:val="24"/>
          <w:szCs w:val="24"/>
          <w:lang w:val="en-US"/>
        </w:rPr>
        <w:t xml:space="preserve"> (Stone et al., 1999; Howald et al., 1999; Eason et al., 2002</w:t>
      </w:r>
      <w:r w:rsidR="00E11DD4">
        <w:rPr>
          <w:rFonts w:cs="Times New Roman"/>
          <w:sz w:val="24"/>
          <w:szCs w:val="24"/>
          <w:lang w:val="en-US"/>
        </w:rPr>
        <w:t>; Erickson and Urban, 2004</w:t>
      </w:r>
      <w:r w:rsidRPr="0099279C">
        <w:rPr>
          <w:rFonts w:cs="Times New Roman"/>
          <w:sz w:val="24"/>
          <w:szCs w:val="24"/>
          <w:lang w:val="en-US"/>
        </w:rPr>
        <w:t xml:space="preserve">). </w:t>
      </w:r>
    </w:p>
    <w:p w:rsidR="004B79D6" w:rsidRDefault="004B79D6" w:rsidP="00221E94">
      <w:pPr>
        <w:contextualSpacing/>
        <w:rPr>
          <w:rFonts w:cs="Times New Roman"/>
          <w:sz w:val="24"/>
          <w:szCs w:val="24"/>
          <w:lang w:val="en-US"/>
        </w:rPr>
      </w:pPr>
    </w:p>
    <w:p w:rsidR="009A6FD2" w:rsidRPr="0099279C" w:rsidRDefault="00221E94" w:rsidP="009A6FD2">
      <w:pPr>
        <w:contextualSpacing/>
        <w:rPr>
          <w:rFonts w:cs="Times New Roman"/>
          <w:sz w:val="24"/>
          <w:szCs w:val="24"/>
          <w:lang w:val="en-US"/>
        </w:rPr>
      </w:pPr>
      <w:r w:rsidRPr="0099279C">
        <w:rPr>
          <w:rFonts w:cs="Times New Roman"/>
          <w:sz w:val="24"/>
          <w:szCs w:val="24"/>
          <w:lang w:val="en-US"/>
        </w:rPr>
        <w:t xml:space="preserve">Following application, brodifacoum pellets are either consumed or break down as a result of rainfall, humidity, mechanical grinding and other factors. </w:t>
      </w:r>
      <w:r w:rsidR="009A6FD2" w:rsidRPr="0099279C">
        <w:rPr>
          <w:rFonts w:cs="Times New Roman"/>
          <w:sz w:val="24"/>
          <w:szCs w:val="24"/>
          <w:lang w:val="en-US"/>
        </w:rPr>
        <w:t>Once in soil, brodifacoum degrades at rates that vary with soil type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The mechanisms and pathways of brodifacoum degradation in soil are not well described but appear related to moisture, temperature and soil type (Fisher</w:t>
      </w:r>
      <w:r w:rsidRPr="0099279C">
        <w:rPr>
          <w:rFonts w:cs="Times New Roman"/>
          <w:sz w:val="24"/>
          <w:szCs w:val="24"/>
          <w:lang w:val="en-US"/>
        </w:rPr>
        <w:t>,</w:t>
      </w:r>
      <w:r w:rsidR="009A6FD2" w:rsidRPr="0099279C">
        <w:rPr>
          <w:rFonts w:cs="Times New Roman"/>
          <w:sz w:val="24"/>
          <w:szCs w:val="24"/>
          <w:lang w:val="en-US"/>
        </w:rPr>
        <w:t xml:space="preserve"> 2010). The half-life of brodifacoum in soil range</w:t>
      </w:r>
      <w:r w:rsidR="004374A9">
        <w:rPr>
          <w:rFonts w:cs="Times New Roman"/>
          <w:sz w:val="24"/>
          <w:szCs w:val="24"/>
          <w:lang w:val="en-US"/>
        </w:rPr>
        <w:t>s</w:t>
      </w:r>
      <w:r w:rsidR="009A6FD2" w:rsidRPr="0099279C">
        <w:rPr>
          <w:rFonts w:cs="Times New Roman"/>
          <w:sz w:val="24"/>
          <w:szCs w:val="24"/>
          <w:lang w:val="en-US"/>
        </w:rPr>
        <w:t xml:space="preserve"> from 12</w:t>
      </w:r>
      <w:r w:rsidR="00F67AB0" w:rsidRPr="0099279C">
        <w:rPr>
          <w:rFonts w:cs="Times New Roman"/>
          <w:sz w:val="24"/>
          <w:szCs w:val="24"/>
        </w:rPr>
        <w:t>-</w:t>
      </w:r>
      <w:r w:rsidR="009A6FD2" w:rsidRPr="0099279C">
        <w:rPr>
          <w:rFonts w:cs="Times New Roman"/>
          <w:sz w:val="24"/>
          <w:szCs w:val="24"/>
          <w:lang w:val="en-US"/>
        </w:rPr>
        <w:t>25 weeks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xml:space="preserve">). In leaching studies, only 2% of brodifacoum added to the soil leached more than 2 cm from its source in </w:t>
      </w:r>
      <w:r w:rsidR="0064794A" w:rsidRPr="0099279C">
        <w:rPr>
          <w:rFonts w:cs="Times New Roman"/>
          <w:sz w:val="24"/>
          <w:szCs w:val="24"/>
          <w:lang w:val="en-US"/>
        </w:rPr>
        <w:t xml:space="preserve">the </w:t>
      </w:r>
      <w:r w:rsidR="009A6FD2" w:rsidRPr="0099279C">
        <w:rPr>
          <w:rFonts w:cs="Times New Roman"/>
          <w:sz w:val="24"/>
          <w:szCs w:val="24"/>
          <w:lang w:val="en-US"/>
        </w:rPr>
        <w:t>four soil types tested (World Health Organization</w:t>
      </w:r>
      <w:r w:rsidR="00B8283C" w:rsidRPr="0099279C">
        <w:rPr>
          <w:rFonts w:cs="Times New Roman"/>
          <w:sz w:val="24"/>
          <w:szCs w:val="24"/>
          <w:lang w:val="en-US"/>
        </w:rPr>
        <w:t>,</w:t>
      </w:r>
      <w:r w:rsidR="009A6FD2" w:rsidRPr="0099279C">
        <w:rPr>
          <w:rFonts w:cs="Times New Roman"/>
          <w:sz w:val="24"/>
          <w:szCs w:val="24"/>
          <w:lang w:val="en-US"/>
        </w:rPr>
        <w:t xml:space="preserve"> 1995; soil type was not defined). </w:t>
      </w:r>
    </w:p>
    <w:p w:rsidR="009A6FD2" w:rsidRPr="0099279C" w:rsidRDefault="009A6FD2" w:rsidP="009A6FD2">
      <w:pPr>
        <w:contextualSpacing/>
        <w:rPr>
          <w:rFonts w:cs="Times New Roman"/>
          <w:sz w:val="24"/>
          <w:szCs w:val="24"/>
          <w:lang w:val="en-US"/>
        </w:rPr>
      </w:pPr>
    </w:p>
    <w:p w:rsidR="004374A9" w:rsidRDefault="009A6FD2" w:rsidP="009A6FD2">
      <w:pPr>
        <w:contextualSpacing/>
        <w:rPr>
          <w:rFonts w:cs="Times New Roman"/>
          <w:sz w:val="24"/>
          <w:szCs w:val="24"/>
          <w:lang w:val="en-US"/>
        </w:rPr>
      </w:pPr>
      <w:r w:rsidRPr="0099279C">
        <w:rPr>
          <w:rFonts w:cs="Times New Roman"/>
          <w:sz w:val="24"/>
          <w:szCs w:val="24"/>
          <w:lang w:val="en-US"/>
        </w:rPr>
        <w:t xml:space="preserve">Brodifacoum is </w:t>
      </w:r>
      <w:r w:rsidR="00537071" w:rsidRPr="0099279C">
        <w:rPr>
          <w:rFonts w:cs="Times New Roman"/>
          <w:sz w:val="24"/>
          <w:szCs w:val="24"/>
          <w:lang w:val="en-US"/>
        </w:rPr>
        <w:t>high</w:t>
      </w:r>
      <w:r w:rsidRPr="0099279C">
        <w:rPr>
          <w:rFonts w:cs="Times New Roman"/>
          <w:sz w:val="24"/>
          <w:szCs w:val="24"/>
          <w:lang w:val="en-US"/>
        </w:rPr>
        <w:t>ly insoluble in water (Ogilv</w:t>
      </w:r>
      <w:r w:rsidR="00537071" w:rsidRPr="0099279C">
        <w:rPr>
          <w:rFonts w:cs="Times New Roman"/>
          <w:sz w:val="24"/>
          <w:szCs w:val="24"/>
          <w:lang w:val="en-US"/>
        </w:rPr>
        <w:t>i</w:t>
      </w:r>
      <w:r w:rsidRPr="0099279C">
        <w:rPr>
          <w:rFonts w:cs="Times New Roman"/>
          <w:sz w:val="24"/>
          <w:szCs w:val="24"/>
          <w:lang w:val="en-US"/>
        </w:rPr>
        <w:t>e et al.</w:t>
      </w:r>
      <w:r w:rsidR="00537071" w:rsidRPr="0099279C">
        <w:rPr>
          <w:rFonts w:cs="Times New Roman"/>
          <w:sz w:val="24"/>
          <w:szCs w:val="24"/>
          <w:lang w:val="en-US"/>
        </w:rPr>
        <w:t>,</w:t>
      </w:r>
      <w:r w:rsidR="004B79D6">
        <w:rPr>
          <w:rFonts w:cs="Times New Roman"/>
          <w:sz w:val="24"/>
          <w:szCs w:val="24"/>
          <w:lang w:val="en-US"/>
        </w:rPr>
        <w:t xml:space="preserve"> 1997). In field studies, fresh</w:t>
      </w:r>
      <w:r w:rsidRPr="0099279C">
        <w:rPr>
          <w:rFonts w:cs="Times New Roman"/>
          <w:sz w:val="24"/>
          <w:szCs w:val="24"/>
          <w:lang w:val="en-US"/>
        </w:rPr>
        <w:t xml:space="preserve">water </w:t>
      </w:r>
      <w:r w:rsidR="004B79D6">
        <w:rPr>
          <w:rFonts w:cs="Times New Roman"/>
          <w:sz w:val="24"/>
          <w:szCs w:val="24"/>
          <w:lang w:val="en-US"/>
        </w:rPr>
        <w:t>samples were</w:t>
      </w:r>
      <w:r w:rsidRPr="0099279C">
        <w:rPr>
          <w:rFonts w:cs="Times New Roman"/>
          <w:sz w:val="24"/>
          <w:szCs w:val="24"/>
          <w:lang w:val="en-US"/>
        </w:rPr>
        <w:t xml:space="preserve"> collected and brodifacoum </w:t>
      </w:r>
      <w:r w:rsidR="004B79D6">
        <w:rPr>
          <w:rFonts w:cs="Times New Roman"/>
          <w:sz w:val="24"/>
          <w:szCs w:val="24"/>
          <w:lang w:val="en-US"/>
        </w:rPr>
        <w:t xml:space="preserve">concentrations determined </w:t>
      </w:r>
      <w:r w:rsidRPr="0099279C">
        <w:rPr>
          <w:rFonts w:cs="Times New Roman"/>
          <w:sz w:val="24"/>
          <w:szCs w:val="24"/>
          <w:lang w:val="en-US"/>
        </w:rPr>
        <w:t xml:space="preserve">after aerial applications of cereal pellet bait containing 20 </w:t>
      </w:r>
      <w:r w:rsidR="00537071" w:rsidRPr="0099279C">
        <w:rPr>
          <w:rFonts w:cs="Times New Roman"/>
          <w:sz w:val="24"/>
          <w:szCs w:val="24"/>
          <w:lang w:val="en-US"/>
        </w:rPr>
        <w:t>mg ai/kg bait. The field studies were conducted at</w:t>
      </w:r>
      <w:r w:rsidRPr="0099279C">
        <w:rPr>
          <w:rFonts w:cs="Times New Roman"/>
          <w:sz w:val="24"/>
          <w:szCs w:val="24"/>
          <w:lang w:val="en-US"/>
        </w:rPr>
        <w:t xml:space="preserve"> Red Mercury Island (Morgan </w:t>
      </w:r>
      <w:r w:rsidR="00537071" w:rsidRPr="0099279C">
        <w:rPr>
          <w:rFonts w:cs="Times New Roman"/>
          <w:sz w:val="24"/>
          <w:szCs w:val="24"/>
          <w:lang w:val="en-US"/>
        </w:rPr>
        <w:t>and</w:t>
      </w:r>
      <w:r w:rsidRPr="0099279C">
        <w:rPr>
          <w:rFonts w:cs="Times New Roman"/>
          <w:sz w:val="24"/>
          <w:szCs w:val="24"/>
          <w:lang w:val="en-US"/>
        </w:rPr>
        <w:t xml:space="preserve"> Wright</w:t>
      </w:r>
      <w:r w:rsidR="00537071" w:rsidRPr="0099279C">
        <w:rPr>
          <w:rFonts w:cs="Times New Roman"/>
          <w:sz w:val="24"/>
          <w:szCs w:val="24"/>
          <w:lang w:val="en-US"/>
        </w:rPr>
        <w:t>,</w:t>
      </w:r>
      <w:r w:rsidRPr="0099279C">
        <w:rPr>
          <w:rFonts w:cs="Times New Roman"/>
          <w:sz w:val="24"/>
          <w:szCs w:val="24"/>
          <w:lang w:val="en-US"/>
        </w:rPr>
        <w:t xml:space="preserve"> 1996), Lady Alice Island (Ogilvie et al.</w:t>
      </w:r>
      <w:r w:rsidR="00537071" w:rsidRPr="0099279C">
        <w:rPr>
          <w:rFonts w:cs="Times New Roman"/>
          <w:sz w:val="24"/>
          <w:szCs w:val="24"/>
          <w:lang w:val="en-US"/>
        </w:rPr>
        <w:t>,</w:t>
      </w:r>
      <w:r w:rsidRPr="0099279C">
        <w:rPr>
          <w:rFonts w:cs="Times New Roman"/>
          <w:sz w:val="24"/>
          <w:szCs w:val="24"/>
          <w:lang w:val="en-US"/>
        </w:rPr>
        <w:t xml:space="preserve"> 1997), Maungatautari, Little Barrier Island and Rangitoto/Motutapu Islands (Fisher et al.</w:t>
      </w:r>
      <w:r w:rsidR="00537071" w:rsidRPr="0099279C">
        <w:rPr>
          <w:rFonts w:cs="Times New Roman"/>
          <w:sz w:val="24"/>
          <w:szCs w:val="24"/>
          <w:lang w:val="en-US"/>
        </w:rPr>
        <w:t>,</w:t>
      </w:r>
      <w:r w:rsidRPr="0099279C">
        <w:rPr>
          <w:rFonts w:cs="Times New Roman"/>
          <w:sz w:val="24"/>
          <w:szCs w:val="24"/>
          <w:lang w:val="en-US"/>
        </w:rPr>
        <w:t xml:space="preserve"> in press). No detectable </w:t>
      </w:r>
      <w:r w:rsidR="004374A9">
        <w:rPr>
          <w:rFonts w:cs="Times New Roman"/>
          <w:sz w:val="24"/>
          <w:szCs w:val="24"/>
          <w:lang w:val="en-US"/>
        </w:rPr>
        <w:t xml:space="preserve">concentrations of </w:t>
      </w:r>
      <w:r w:rsidRPr="0099279C">
        <w:rPr>
          <w:rFonts w:cs="Times New Roman"/>
          <w:sz w:val="24"/>
          <w:szCs w:val="24"/>
          <w:lang w:val="en-US"/>
        </w:rPr>
        <w:t xml:space="preserve">brodifacoum </w:t>
      </w:r>
      <w:r w:rsidR="004374A9">
        <w:rPr>
          <w:rFonts w:cs="Times New Roman"/>
          <w:sz w:val="24"/>
          <w:szCs w:val="24"/>
          <w:lang w:val="en-US"/>
        </w:rPr>
        <w:t>in water were</w:t>
      </w:r>
      <w:r w:rsidRPr="0099279C">
        <w:rPr>
          <w:rFonts w:cs="Times New Roman"/>
          <w:sz w:val="24"/>
          <w:szCs w:val="24"/>
          <w:lang w:val="en-US"/>
        </w:rPr>
        <w:t xml:space="preserve"> found in any of the studies.</w:t>
      </w:r>
    </w:p>
    <w:p w:rsidR="004374A9" w:rsidRDefault="004374A9" w:rsidP="004374A9">
      <w:pPr>
        <w:pStyle w:val="Heading2"/>
      </w:pPr>
      <w:bookmarkStart w:id="11" w:name="_Toc343007913"/>
      <w:r>
        <w:t>DIPHACINONE</w:t>
      </w:r>
      <w:bookmarkEnd w:id="11"/>
    </w:p>
    <w:p w:rsidR="004374A9" w:rsidRDefault="004374A9" w:rsidP="004374A9">
      <w:pPr>
        <w:rPr>
          <w:rFonts w:cs="Times New Roman"/>
          <w:sz w:val="24"/>
        </w:rPr>
      </w:pPr>
      <w:r>
        <w:rPr>
          <w:rFonts w:cs="Times New Roman"/>
          <w:sz w:val="24"/>
        </w:rPr>
        <w:t>Diphacinone was first registered for use in the United States in 1960 (EPA, 1998</w:t>
      </w:r>
      <w:r w:rsidR="00AA7F19">
        <w:rPr>
          <w:rFonts w:cs="Times New Roman"/>
          <w:sz w:val="24"/>
        </w:rPr>
        <w:t>a</w:t>
      </w:r>
      <w:r>
        <w:rPr>
          <w:rFonts w:cs="Times New Roman"/>
          <w:sz w:val="24"/>
        </w:rPr>
        <w:t xml:space="preserve">). It is a first generation indandione anticoagulant, a group that includes other pesticides </w:t>
      </w:r>
      <w:r w:rsidR="004B79D6">
        <w:rPr>
          <w:rFonts w:cs="Times New Roman"/>
          <w:sz w:val="24"/>
        </w:rPr>
        <w:t>such as</w:t>
      </w:r>
      <w:r>
        <w:rPr>
          <w:rFonts w:cs="Times New Roman"/>
          <w:sz w:val="24"/>
        </w:rPr>
        <w:t xml:space="preserve"> pindone, calone, and chlorophacinone. As a first generation rodenticide, diphacinone is less acutely toxic to </w:t>
      </w:r>
      <w:r w:rsidR="009160C0">
        <w:rPr>
          <w:rFonts w:cs="Times New Roman"/>
          <w:sz w:val="24"/>
        </w:rPr>
        <w:t>birds</w:t>
      </w:r>
      <w:r>
        <w:rPr>
          <w:rFonts w:cs="Times New Roman"/>
          <w:sz w:val="24"/>
        </w:rPr>
        <w:t xml:space="preserve"> than </w:t>
      </w:r>
      <w:r w:rsidR="00DD09E2">
        <w:rPr>
          <w:rFonts w:cs="Times New Roman"/>
          <w:sz w:val="24"/>
        </w:rPr>
        <w:t>are second generation rodenticides such as</w:t>
      </w:r>
      <w:r>
        <w:rPr>
          <w:rFonts w:cs="Times New Roman"/>
          <w:sz w:val="24"/>
        </w:rPr>
        <w:t xml:space="preserve"> brodifacoum (EPA, 1998</w:t>
      </w:r>
      <w:r w:rsidR="00AA7F19">
        <w:rPr>
          <w:rFonts w:cs="Times New Roman"/>
          <w:sz w:val="24"/>
        </w:rPr>
        <w:t>a</w:t>
      </w:r>
      <w:r w:rsidR="00DD4DDA">
        <w:rPr>
          <w:rFonts w:cs="Times New Roman"/>
          <w:sz w:val="24"/>
        </w:rPr>
        <w:t>; Erickson and Urban, 2004; Rattner et al., 2010</w:t>
      </w:r>
      <w:r>
        <w:rPr>
          <w:rFonts w:cs="Times New Roman"/>
          <w:sz w:val="24"/>
        </w:rPr>
        <w:t xml:space="preserve">). </w:t>
      </w:r>
      <w:r w:rsidR="00DD4DDA">
        <w:rPr>
          <w:rFonts w:cs="Times New Roman"/>
          <w:sz w:val="24"/>
        </w:rPr>
        <w:t>C</w:t>
      </w:r>
      <w:r>
        <w:rPr>
          <w:rFonts w:cs="Times New Roman"/>
          <w:sz w:val="24"/>
        </w:rPr>
        <w:t xml:space="preserve">ontrol of rodent populations requires multiple feedings </w:t>
      </w:r>
      <w:r w:rsidR="00DD4DDA">
        <w:rPr>
          <w:rFonts w:cs="Times New Roman"/>
          <w:sz w:val="24"/>
        </w:rPr>
        <w:t>(Ashton et al., 1987). As a result,</w:t>
      </w:r>
      <w:r>
        <w:rPr>
          <w:rFonts w:cs="Times New Roman"/>
          <w:sz w:val="24"/>
        </w:rPr>
        <w:t xml:space="preserve"> there is a higher risk </w:t>
      </w:r>
      <w:r w:rsidR="004B79D6">
        <w:rPr>
          <w:rFonts w:cs="Times New Roman"/>
          <w:sz w:val="24"/>
        </w:rPr>
        <w:t>of eradication efforts failing with diphacinone than is the case with brodifacoum (Parkes et al., 2011)</w:t>
      </w:r>
      <w:r>
        <w:rPr>
          <w:rFonts w:cs="Times New Roman"/>
          <w:sz w:val="24"/>
        </w:rPr>
        <w:t xml:space="preserve">. </w:t>
      </w:r>
    </w:p>
    <w:p w:rsidR="004374A9" w:rsidRDefault="004374A9" w:rsidP="004374A9">
      <w:pPr>
        <w:rPr>
          <w:rFonts w:cs="Times New Roman"/>
          <w:sz w:val="24"/>
        </w:rPr>
      </w:pPr>
      <w:r>
        <w:rPr>
          <w:rFonts w:cs="Times New Roman"/>
          <w:sz w:val="24"/>
        </w:rPr>
        <w:t>Diphacinone is quickly absorbed through the gut of animals, inhibits vitamin K</w:t>
      </w:r>
      <w:r w:rsidR="00F5557B">
        <w:rPr>
          <w:rFonts w:cs="Times New Roman"/>
          <w:sz w:val="24"/>
        </w:rPr>
        <w:t>,</w:t>
      </w:r>
      <w:r>
        <w:rPr>
          <w:rFonts w:cs="Times New Roman"/>
          <w:sz w:val="24"/>
        </w:rPr>
        <w:t xml:space="preserve"> and uncouples oxidative phosphorylation (EPA, 2011). Studies </w:t>
      </w:r>
      <w:r w:rsidR="00DD4DDA">
        <w:rPr>
          <w:rFonts w:cs="Times New Roman"/>
          <w:sz w:val="24"/>
        </w:rPr>
        <w:t xml:space="preserve">with </w:t>
      </w:r>
      <w:r>
        <w:rPr>
          <w:rFonts w:cs="Times New Roman"/>
          <w:sz w:val="24"/>
        </w:rPr>
        <w:t>birds and mammals have documented increased blood coagulation time, external bleeding, and mortalit</w:t>
      </w:r>
      <w:r w:rsidR="00FE6A64">
        <w:rPr>
          <w:rFonts w:cs="Times New Roman"/>
          <w:sz w:val="24"/>
        </w:rPr>
        <w:t>y</w:t>
      </w:r>
      <w:r>
        <w:rPr>
          <w:rFonts w:cs="Times New Roman"/>
          <w:sz w:val="24"/>
        </w:rPr>
        <w:t xml:space="preserve"> following consumption of as few as one </w:t>
      </w:r>
      <w:r w:rsidR="00DD4DDA">
        <w:rPr>
          <w:rFonts w:cs="Times New Roman"/>
          <w:sz w:val="24"/>
        </w:rPr>
        <w:t>diphacinone-</w:t>
      </w:r>
      <w:r>
        <w:rPr>
          <w:rFonts w:cs="Times New Roman"/>
          <w:sz w:val="24"/>
        </w:rPr>
        <w:t>exposed prey item per day for 3 days (Erickson and Urban, 2004).</w:t>
      </w:r>
    </w:p>
    <w:p w:rsidR="004374A9" w:rsidRDefault="004374A9" w:rsidP="004374A9">
      <w:pPr>
        <w:rPr>
          <w:rFonts w:cs="Times New Roman"/>
          <w:sz w:val="24"/>
        </w:rPr>
      </w:pPr>
      <w:r>
        <w:rPr>
          <w:rFonts w:cs="Times New Roman"/>
          <w:sz w:val="24"/>
        </w:rPr>
        <w:t xml:space="preserve">Diphacinone pellets or bait blocks can be broken down by rainfall, humidity, weather, mechanical grinding, </w:t>
      </w:r>
      <w:r w:rsidR="00FE6A64">
        <w:rPr>
          <w:rFonts w:cs="Times New Roman"/>
          <w:sz w:val="24"/>
        </w:rPr>
        <w:t>and</w:t>
      </w:r>
      <w:r>
        <w:rPr>
          <w:rFonts w:cs="Times New Roman"/>
          <w:sz w:val="24"/>
        </w:rPr>
        <w:t xml:space="preserve"> other factors. Diphacinone has a </w:t>
      </w:r>
      <w:r w:rsidR="00AB7E98">
        <w:rPr>
          <w:rFonts w:cs="Times New Roman"/>
          <w:sz w:val="24"/>
        </w:rPr>
        <w:t>low</w:t>
      </w:r>
      <w:r>
        <w:rPr>
          <w:rFonts w:cs="Times New Roman"/>
          <w:sz w:val="24"/>
        </w:rPr>
        <w:t xml:space="preserve"> solubility </w:t>
      </w:r>
      <w:r w:rsidR="00AB7E98">
        <w:rPr>
          <w:rFonts w:cs="Times New Roman"/>
          <w:sz w:val="24"/>
        </w:rPr>
        <w:t xml:space="preserve">in water </w:t>
      </w:r>
      <w:r>
        <w:rPr>
          <w:rFonts w:cs="Times New Roman"/>
          <w:sz w:val="24"/>
        </w:rPr>
        <w:t>of 0.3 mg/L (</w:t>
      </w:r>
      <w:r w:rsidR="00AA7F19">
        <w:rPr>
          <w:rFonts w:cs="Times New Roman"/>
          <w:sz w:val="24"/>
        </w:rPr>
        <w:t>EPA, 1998</w:t>
      </w:r>
      <w:r w:rsidR="00765331">
        <w:rPr>
          <w:rFonts w:cs="Times New Roman"/>
          <w:sz w:val="24"/>
        </w:rPr>
        <w:t>a</w:t>
      </w:r>
      <w:r w:rsidR="00AB7E98">
        <w:rPr>
          <w:rFonts w:cs="Times New Roman"/>
          <w:sz w:val="24"/>
        </w:rPr>
        <w:t>)</w:t>
      </w:r>
      <w:r>
        <w:rPr>
          <w:rFonts w:cs="Times New Roman"/>
          <w:sz w:val="24"/>
        </w:rPr>
        <w:t>. It has a low potential for volatilization, with a Henry’s Law constant of 2 x 10</w:t>
      </w:r>
      <w:r w:rsidRPr="00FC31E2">
        <w:rPr>
          <w:rFonts w:cs="Times New Roman"/>
          <w:sz w:val="24"/>
          <w:vertAlign w:val="superscript"/>
        </w:rPr>
        <w:t>-10</w:t>
      </w:r>
      <w:r>
        <w:rPr>
          <w:rFonts w:cs="Times New Roman"/>
          <w:sz w:val="24"/>
        </w:rPr>
        <w:t xml:space="preserve"> atm-m</w:t>
      </w:r>
      <w:r w:rsidRPr="00FC31E2">
        <w:rPr>
          <w:rFonts w:cs="Times New Roman"/>
          <w:sz w:val="24"/>
          <w:vertAlign w:val="superscript"/>
        </w:rPr>
        <w:t>3</w:t>
      </w:r>
      <w:r>
        <w:rPr>
          <w:rFonts w:cs="Times New Roman"/>
          <w:sz w:val="24"/>
        </w:rPr>
        <w:t>/mol. The potential for leaching is low, but diphacinone is expected to be moderately mobile in soil (EPA, 2011). The half-life of diphacinone in soil is 30 days (EPA, 2011</w:t>
      </w:r>
      <w:r w:rsidR="00AA7F19">
        <w:rPr>
          <w:rFonts w:cs="Times New Roman"/>
          <w:sz w:val="24"/>
        </w:rPr>
        <w:t>)</w:t>
      </w:r>
      <w:r>
        <w:rPr>
          <w:rFonts w:cs="Times New Roman"/>
          <w:sz w:val="24"/>
        </w:rPr>
        <w:t xml:space="preserve">. </w:t>
      </w:r>
    </w:p>
    <w:p w:rsidR="009A6FD2" w:rsidRPr="0099279C" w:rsidRDefault="00F57456" w:rsidP="00537071">
      <w:pPr>
        <w:pStyle w:val="Heading2"/>
      </w:pPr>
      <w:bookmarkStart w:id="12" w:name="_Toc343007914"/>
      <w:r w:rsidRPr="0099279C">
        <w:t>Focal Species</w:t>
      </w:r>
      <w:bookmarkEnd w:id="12"/>
    </w:p>
    <w:p w:rsidR="009A6FD2" w:rsidRPr="0099279C" w:rsidRDefault="009A6FD2" w:rsidP="009A6FD2">
      <w:pPr>
        <w:contextualSpacing/>
        <w:rPr>
          <w:rFonts w:cs="Times New Roman"/>
          <w:sz w:val="24"/>
          <w:szCs w:val="24"/>
          <w:lang w:val="en-US"/>
        </w:rPr>
      </w:pPr>
      <w:r w:rsidRPr="0099279C">
        <w:rPr>
          <w:rFonts w:cs="Times New Roman"/>
          <w:sz w:val="24"/>
          <w:szCs w:val="24"/>
          <w:lang w:val="en-US"/>
        </w:rPr>
        <w:t xml:space="preserve">The </w:t>
      </w:r>
      <w:r w:rsidR="00537071" w:rsidRPr="0099279C">
        <w:rPr>
          <w:rFonts w:cs="Times New Roman"/>
          <w:sz w:val="24"/>
          <w:szCs w:val="24"/>
          <w:lang w:val="en-US"/>
        </w:rPr>
        <w:t>w</w:t>
      </w:r>
      <w:r w:rsidRPr="0099279C">
        <w:rPr>
          <w:rFonts w:cs="Times New Roman"/>
          <w:sz w:val="24"/>
          <w:szCs w:val="24"/>
          <w:lang w:val="en-US"/>
        </w:rPr>
        <w:t xml:space="preserve">estern </w:t>
      </w:r>
      <w:r w:rsidR="00537071" w:rsidRPr="0099279C">
        <w:rPr>
          <w:rFonts w:cs="Times New Roman"/>
          <w:sz w:val="24"/>
          <w:szCs w:val="24"/>
          <w:lang w:val="en-US"/>
        </w:rPr>
        <w:t>g</w:t>
      </w:r>
      <w:r w:rsidRPr="0099279C">
        <w:rPr>
          <w:rFonts w:cs="Times New Roman"/>
          <w:sz w:val="24"/>
          <w:szCs w:val="24"/>
          <w:lang w:val="en-US"/>
        </w:rPr>
        <w:t xml:space="preserve">ull is found predominantly on coastal islands, including major offshore islands, rocky islets, abandoned piers, channel markers, </w:t>
      </w:r>
      <w:r w:rsidR="00537071" w:rsidRPr="0099279C">
        <w:rPr>
          <w:rFonts w:cs="Times New Roman"/>
          <w:sz w:val="24"/>
          <w:szCs w:val="24"/>
          <w:lang w:val="en-US"/>
        </w:rPr>
        <w:t xml:space="preserve">and </w:t>
      </w:r>
      <w:r w:rsidRPr="0099279C">
        <w:rPr>
          <w:rFonts w:cs="Times New Roman"/>
          <w:sz w:val="24"/>
          <w:szCs w:val="24"/>
          <w:lang w:val="en-US"/>
        </w:rPr>
        <w:t>dikes in commercial salt flats (Pierotti</w:t>
      </w:r>
      <w:r w:rsidR="006860A3" w:rsidRPr="0099279C">
        <w:rPr>
          <w:rFonts w:cs="Times New Roman"/>
          <w:sz w:val="24"/>
          <w:szCs w:val="24"/>
          <w:lang w:val="en-US"/>
        </w:rPr>
        <w:t xml:space="preserve"> and Annett</w:t>
      </w:r>
      <w:r w:rsidR="00537071" w:rsidRPr="0099279C">
        <w:rPr>
          <w:rFonts w:cs="Times New Roman"/>
          <w:sz w:val="24"/>
          <w:szCs w:val="24"/>
          <w:lang w:val="en-US"/>
        </w:rPr>
        <w:t>,</w:t>
      </w:r>
      <w:r w:rsidRPr="0099279C">
        <w:rPr>
          <w:rFonts w:cs="Times New Roman"/>
          <w:sz w:val="24"/>
          <w:szCs w:val="24"/>
          <w:lang w:val="en-US"/>
        </w:rPr>
        <w:t xml:space="preserve"> 1995). On </w:t>
      </w:r>
      <w:r w:rsidR="00BE7C91">
        <w:rPr>
          <w:rFonts w:cs="Times New Roman"/>
          <w:sz w:val="24"/>
          <w:szCs w:val="24"/>
          <w:lang w:val="en-US"/>
        </w:rPr>
        <w:t>SFI</w:t>
      </w:r>
      <w:r w:rsidRPr="0099279C">
        <w:rPr>
          <w:rFonts w:cs="Times New Roman"/>
          <w:sz w:val="24"/>
          <w:szCs w:val="24"/>
          <w:lang w:val="en-US"/>
        </w:rPr>
        <w:t>, gull nests tend to be found in the greatest density on the rocky marine terraces (Pierotti</w:t>
      </w:r>
      <w:r w:rsidR="00537071" w:rsidRPr="0099279C">
        <w:rPr>
          <w:rFonts w:cs="Times New Roman"/>
          <w:sz w:val="24"/>
          <w:szCs w:val="24"/>
          <w:lang w:val="en-US"/>
        </w:rPr>
        <w:t>,</w:t>
      </w:r>
      <w:r w:rsidRPr="0099279C">
        <w:rPr>
          <w:rFonts w:cs="Times New Roman"/>
          <w:sz w:val="24"/>
          <w:szCs w:val="24"/>
          <w:lang w:val="en-US"/>
        </w:rPr>
        <w:t xml:space="preserve"> 1976, 1981). </w:t>
      </w:r>
      <w:r w:rsidR="002859AE">
        <w:rPr>
          <w:rFonts w:cs="Times New Roman"/>
          <w:sz w:val="24"/>
          <w:szCs w:val="24"/>
          <w:lang w:val="en-US"/>
        </w:rPr>
        <w:t>Roosting w</w:t>
      </w:r>
      <w:r w:rsidRPr="0099279C">
        <w:rPr>
          <w:rFonts w:cs="Times New Roman"/>
          <w:sz w:val="24"/>
          <w:szCs w:val="24"/>
          <w:lang w:val="en-US"/>
        </w:rPr>
        <w:t xml:space="preserve">estern gulls can be found on </w:t>
      </w:r>
      <w:r w:rsidR="00BE7C91">
        <w:rPr>
          <w:rFonts w:cs="Times New Roman"/>
          <w:sz w:val="24"/>
          <w:szCs w:val="24"/>
          <w:lang w:val="en-US"/>
        </w:rPr>
        <w:t>SFI</w:t>
      </w:r>
      <w:r w:rsidRPr="0099279C">
        <w:rPr>
          <w:rFonts w:cs="Times New Roman"/>
          <w:sz w:val="24"/>
          <w:szCs w:val="24"/>
          <w:lang w:val="en-US"/>
        </w:rPr>
        <w:t xml:space="preserve"> nearly year round, as well as in adjacent offshore waters</w:t>
      </w:r>
      <w:r w:rsidR="002859AE">
        <w:rPr>
          <w:rFonts w:cs="Times New Roman"/>
          <w:sz w:val="24"/>
          <w:szCs w:val="24"/>
          <w:lang w:val="en-US"/>
        </w:rPr>
        <w:t>, but the greatest concentrations occur during the spring breeding season (which begins in April) with fewest gulls present in late summer/fall</w:t>
      </w:r>
      <w:r w:rsidRPr="0099279C">
        <w:rPr>
          <w:rFonts w:cs="Times New Roman"/>
          <w:sz w:val="24"/>
          <w:szCs w:val="24"/>
          <w:lang w:val="en-US"/>
        </w:rPr>
        <w:t xml:space="preserve">. </w:t>
      </w:r>
      <w:r w:rsidR="00537071" w:rsidRPr="0099279C">
        <w:rPr>
          <w:rFonts w:cs="Times New Roman"/>
          <w:sz w:val="24"/>
          <w:szCs w:val="24"/>
          <w:lang w:val="en-US"/>
        </w:rPr>
        <w:t>They</w:t>
      </w:r>
      <w:r w:rsidRPr="0099279C">
        <w:rPr>
          <w:rFonts w:cs="Times New Roman"/>
          <w:sz w:val="24"/>
          <w:szCs w:val="24"/>
          <w:lang w:val="en-US"/>
        </w:rPr>
        <w:t xml:space="preserve"> are monogamous seabirds with bi</w:t>
      </w:r>
      <w:r w:rsidR="006C06CD">
        <w:rPr>
          <w:rFonts w:cs="Times New Roman"/>
          <w:sz w:val="24"/>
          <w:szCs w:val="24"/>
          <w:lang w:val="en-US"/>
        </w:rPr>
        <w:t>-</w:t>
      </w:r>
      <w:r w:rsidRPr="0099279C">
        <w:rPr>
          <w:rFonts w:cs="Times New Roman"/>
          <w:sz w:val="24"/>
          <w:szCs w:val="24"/>
          <w:lang w:val="en-US"/>
        </w:rPr>
        <w:t xml:space="preserve">parental care, site and mate fidelity, and </w:t>
      </w:r>
      <w:r w:rsidR="00201CC8">
        <w:rPr>
          <w:rFonts w:cs="Times New Roman"/>
          <w:sz w:val="24"/>
          <w:szCs w:val="24"/>
          <w:lang w:val="en-US"/>
        </w:rPr>
        <w:t xml:space="preserve">a </w:t>
      </w:r>
      <w:r w:rsidRPr="0099279C">
        <w:rPr>
          <w:rFonts w:cs="Times New Roman"/>
          <w:sz w:val="24"/>
          <w:szCs w:val="24"/>
          <w:lang w:val="en-US"/>
        </w:rPr>
        <w:t>maximum lifespan of 25 years (Pierotti</w:t>
      </w:r>
      <w:r w:rsidR="006860A3" w:rsidRPr="0099279C">
        <w:rPr>
          <w:rFonts w:cs="Times New Roman"/>
          <w:sz w:val="24"/>
          <w:szCs w:val="24"/>
          <w:lang w:val="en-US"/>
        </w:rPr>
        <w:t xml:space="preserve"> and Annett</w:t>
      </w:r>
      <w:r w:rsidR="00B8283C" w:rsidRPr="0099279C">
        <w:rPr>
          <w:rFonts w:cs="Times New Roman"/>
          <w:sz w:val="24"/>
          <w:szCs w:val="24"/>
          <w:lang w:val="en-US"/>
        </w:rPr>
        <w:t>,</w:t>
      </w:r>
      <w:r w:rsidRPr="0099279C">
        <w:rPr>
          <w:rFonts w:cs="Times New Roman"/>
          <w:sz w:val="24"/>
          <w:szCs w:val="24"/>
          <w:lang w:val="en-US"/>
        </w:rPr>
        <w:t xml:space="preserve"> 1995). Highest breeding success of </w:t>
      </w:r>
      <w:r w:rsidR="00537071" w:rsidRPr="0099279C">
        <w:rPr>
          <w:rFonts w:cs="Times New Roman"/>
          <w:sz w:val="24"/>
          <w:szCs w:val="24"/>
          <w:lang w:val="en-US"/>
        </w:rPr>
        <w:t>w</w:t>
      </w:r>
      <w:r w:rsidRPr="0099279C">
        <w:rPr>
          <w:rFonts w:cs="Times New Roman"/>
          <w:sz w:val="24"/>
          <w:szCs w:val="24"/>
          <w:lang w:val="en-US"/>
        </w:rPr>
        <w:t>estern gull pairs is achieved in either rocky or vegetated a</w:t>
      </w:r>
      <w:r w:rsidR="009160C0">
        <w:rPr>
          <w:rFonts w:cs="Times New Roman"/>
          <w:sz w:val="24"/>
          <w:szCs w:val="24"/>
          <w:lang w:val="en-US"/>
        </w:rPr>
        <w:t xml:space="preserve">reas with adequate cover </w:t>
      </w:r>
      <w:r w:rsidRPr="0099279C">
        <w:rPr>
          <w:rFonts w:cs="Times New Roman"/>
          <w:sz w:val="24"/>
          <w:szCs w:val="24"/>
          <w:lang w:val="en-US"/>
        </w:rPr>
        <w:t>from both weather and predation</w:t>
      </w:r>
      <w:r w:rsidR="009160C0">
        <w:rPr>
          <w:rFonts w:cs="Times New Roman"/>
          <w:sz w:val="24"/>
          <w:szCs w:val="24"/>
          <w:lang w:val="en-US"/>
        </w:rPr>
        <w:t xml:space="preserve"> </w:t>
      </w:r>
      <w:r w:rsidRPr="0099279C">
        <w:rPr>
          <w:rFonts w:cs="Times New Roman"/>
          <w:sz w:val="24"/>
          <w:szCs w:val="24"/>
          <w:lang w:val="en-US"/>
        </w:rPr>
        <w:t>for semi</w:t>
      </w:r>
      <w:r w:rsidR="006C06CD">
        <w:rPr>
          <w:rFonts w:cs="Times New Roman"/>
          <w:sz w:val="24"/>
          <w:szCs w:val="24"/>
          <w:lang w:val="en-US"/>
        </w:rPr>
        <w:t>-</w:t>
      </w:r>
      <w:r w:rsidRPr="0099279C">
        <w:rPr>
          <w:rFonts w:cs="Times New Roman"/>
          <w:sz w:val="24"/>
          <w:szCs w:val="24"/>
          <w:lang w:val="en-US"/>
        </w:rPr>
        <w:t>precocial young (Pierotti</w:t>
      </w:r>
      <w:r w:rsidR="00537071" w:rsidRPr="0099279C">
        <w:rPr>
          <w:rFonts w:cs="Times New Roman"/>
          <w:sz w:val="24"/>
          <w:szCs w:val="24"/>
          <w:lang w:val="en-US"/>
        </w:rPr>
        <w:t>,</w:t>
      </w:r>
      <w:r w:rsidRPr="0099279C">
        <w:rPr>
          <w:rFonts w:cs="Times New Roman"/>
          <w:sz w:val="24"/>
          <w:szCs w:val="24"/>
          <w:lang w:val="en-US"/>
        </w:rPr>
        <w:t xml:space="preserve"> 1976, 1981). Studies have shown that </w:t>
      </w:r>
      <w:r w:rsidR="00537071" w:rsidRPr="0099279C">
        <w:rPr>
          <w:rFonts w:cs="Times New Roman"/>
          <w:sz w:val="24"/>
          <w:szCs w:val="24"/>
          <w:lang w:val="en-US"/>
        </w:rPr>
        <w:t>reproductive success is sensitive</w:t>
      </w:r>
      <w:r w:rsidRPr="0099279C">
        <w:rPr>
          <w:rFonts w:cs="Times New Roman"/>
          <w:sz w:val="24"/>
          <w:szCs w:val="24"/>
          <w:lang w:val="en-US"/>
        </w:rPr>
        <w:t xml:space="preserve"> to changes in pelagic fish </w:t>
      </w:r>
      <w:r w:rsidR="00537071" w:rsidRPr="0099279C">
        <w:rPr>
          <w:rFonts w:cs="Times New Roman"/>
          <w:sz w:val="24"/>
          <w:szCs w:val="24"/>
          <w:lang w:val="en-US"/>
        </w:rPr>
        <w:t>abundance</w:t>
      </w:r>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6860A3" w:rsidRPr="0099279C" w:rsidRDefault="009A6FD2" w:rsidP="009A6FD2">
      <w:pPr>
        <w:contextualSpacing/>
        <w:rPr>
          <w:rFonts w:cs="Times New Roman"/>
          <w:sz w:val="24"/>
          <w:szCs w:val="24"/>
          <w:lang w:val="en-US"/>
        </w:rPr>
      </w:pPr>
      <w:r w:rsidRPr="0099279C">
        <w:rPr>
          <w:rFonts w:cs="Times New Roman"/>
          <w:sz w:val="24"/>
          <w:szCs w:val="24"/>
          <w:lang w:val="en-US"/>
        </w:rPr>
        <w:t xml:space="preserve">Like most gulls, the </w:t>
      </w:r>
      <w:r w:rsidR="00F41289" w:rsidRPr="0099279C">
        <w:rPr>
          <w:rFonts w:cs="Times New Roman"/>
          <w:sz w:val="24"/>
          <w:szCs w:val="24"/>
          <w:lang w:val="en-US"/>
        </w:rPr>
        <w:t>western gull</w:t>
      </w:r>
      <w:r w:rsidRPr="0099279C">
        <w:rPr>
          <w:rFonts w:cs="Times New Roman"/>
          <w:sz w:val="24"/>
          <w:szCs w:val="24"/>
          <w:lang w:val="en-US"/>
        </w:rPr>
        <w:t xml:space="preserve"> is an opportunistic scavenger on fish, carrion, and human refuse, and a generalist predator, capturing its own live prey, as well as stealing food from seals and other gulls (Hunt and Butler</w:t>
      </w:r>
      <w:r w:rsidR="00F41289" w:rsidRPr="0099279C">
        <w:rPr>
          <w:rFonts w:cs="Times New Roman"/>
          <w:sz w:val="24"/>
          <w:szCs w:val="24"/>
          <w:lang w:val="en-US"/>
        </w:rPr>
        <w:t>,</w:t>
      </w:r>
      <w:r w:rsidRPr="0099279C">
        <w:rPr>
          <w:rFonts w:cs="Times New Roman"/>
          <w:sz w:val="24"/>
          <w:szCs w:val="24"/>
          <w:lang w:val="en-US"/>
        </w:rPr>
        <w:t xml:space="preserve"> 1980; Pierotti</w:t>
      </w:r>
      <w:r w:rsidR="00F41289" w:rsidRPr="0099279C">
        <w:rPr>
          <w:rFonts w:cs="Times New Roman"/>
          <w:sz w:val="24"/>
          <w:szCs w:val="24"/>
          <w:lang w:val="en-US"/>
        </w:rPr>
        <w:t>,</w:t>
      </w:r>
      <w:r w:rsidRPr="0099279C">
        <w:rPr>
          <w:rFonts w:cs="Times New Roman"/>
          <w:sz w:val="24"/>
          <w:szCs w:val="24"/>
          <w:lang w:val="en-US"/>
        </w:rPr>
        <w:t xml:space="preserve"> 1976; Annett and Pierotti</w:t>
      </w:r>
      <w:r w:rsidR="00B8283C" w:rsidRPr="0099279C">
        <w:rPr>
          <w:rFonts w:cs="Times New Roman"/>
          <w:sz w:val="24"/>
          <w:szCs w:val="24"/>
          <w:lang w:val="en-US"/>
        </w:rPr>
        <w:t>,</w:t>
      </w:r>
      <w:r w:rsidRPr="0099279C">
        <w:rPr>
          <w:rFonts w:cs="Times New Roman"/>
          <w:sz w:val="24"/>
          <w:szCs w:val="24"/>
          <w:lang w:val="en-US"/>
        </w:rPr>
        <w:t xml:space="preserve"> 1989; Ainley et al</w:t>
      </w:r>
      <w:r w:rsidR="00F41289" w:rsidRPr="0099279C">
        <w:rPr>
          <w:rFonts w:cs="Times New Roman"/>
          <w:sz w:val="24"/>
          <w:szCs w:val="24"/>
          <w:lang w:val="en-US"/>
        </w:rPr>
        <w:t>.,</w:t>
      </w:r>
      <w:r w:rsidRPr="0099279C">
        <w:rPr>
          <w:rFonts w:cs="Times New Roman"/>
          <w:sz w:val="24"/>
          <w:szCs w:val="24"/>
          <w:lang w:val="en-US"/>
        </w:rPr>
        <w:t xml:space="preserve"> 1990). They capture food near the water’s surface and on shore. </w:t>
      </w:r>
    </w:p>
    <w:p w:rsidR="009A6FD2" w:rsidRPr="0099279C" w:rsidRDefault="00F57456" w:rsidP="001B1DA2">
      <w:pPr>
        <w:pStyle w:val="Heading2"/>
      </w:pPr>
      <w:bookmarkStart w:id="13" w:name="_Toc343007915"/>
      <w:r w:rsidRPr="0099279C">
        <w:t>Exposure Routes</w:t>
      </w:r>
      <w:bookmarkEnd w:id="13"/>
    </w:p>
    <w:p w:rsidR="009A6FD2" w:rsidRPr="0099279C" w:rsidRDefault="00B06474" w:rsidP="009A6FD2">
      <w:pPr>
        <w:contextualSpacing/>
        <w:rPr>
          <w:rFonts w:cs="Times New Roman"/>
          <w:sz w:val="24"/>
          <w:szCs w:val="24"/>
          <w:lang w:val="en-US"/>
        </w:rPr>
      </w:pPr>
      <w:r w:rsidRPr="0099279C">
        <w:rPr>
          <w:rFonts w:cs="Times New Roman"/>
          <w:sz w:val="24"/>
          <w:szCs w:val="24"/>
          <w:lang w:val="en-US"/>
        </w:rPr>
        <w:t>Given the diet and behavior of western gulls and the fate</w:t>
      </w:r>
      <w:r w:rsidR="009160C0">
        <w:rPr>
          <w:rFonts w:cs="Times New Roman"/>
          <w:sz w:val="24"/>
          <w:szCs w:val="24"/>
          <w:lang w:val="en-US"/>
        </w:rPr>
        <w:t>s</w:t>
      </w:r>
      <w:r w:rsidRPr="0099279C">
        <w:rPr>
          <w:rFonts w:cs="Times New Roman"/>
          <w:sz w:val="24"/>
          <w:szCs w:val="24"/>
          <w:lang w:val="en-US"/>
        </w:rPr>
        <w:t xml:space="preserve"> of brodifacoum</w:t>
      </w:r>
      <w:r w:rsidR="009160C0">
        <w:rPr>
          <w:rFonts w:cs="Times New Roman"/>
          <w:sz w:val="24"/>
          <w:szCs w:val="24"/>
          <w:lang w:val="en-US"/>
        </w:rPr>
        <w:t xml:space="preserve"> and diphacinone</w:t>
      </w:r>
      <w:r w:rsidRPr="0099279C">
        <w:rPr>
          <w:rFonts w:cs="Times New Roman"/>
          <w:sz w:val="24"/>
          <w:szCs w:val="24"/>
          <w:lang w:val="en-US"/>
        </w:rPr>
        <w:t xml:space="preserve"> following application, there are two major routes of exposure: ingestion of </w:t>
      </w:r>
      <w:r w:rsidR="009160C0">
        <w:rPr>
          <w:rFonts w:cs="Times New Roman"/>
          <w:sz w:val="24"/>
          <w:szCs w:val="24"/>
          <w:lang w:val="en-US"/>
        </w:rPr>
        <w:t>rodenticide</w:t>
      </w:r>
      <w:r w:rsidRPr="0099279C">
        <w:rPr>
          <w:rFonts w:cs="Times New Roman"/>
          <w:sz w:val="24"/>
          <w:szCs w:val="24"/>
          <w:lang w:val="en-US"/>
        </w:rPr>
        <w:t xml:space="preserve"> pellets (primary poisoning), and ingestion of </w:t>
      </w:r>
      <w:r w:rsidR="009160C0">
        <w:rPr>
          <w:rFonts w:cs="Times New Roman"/>
          <w:sz w:val="24"/>
          <w:szCs w:val="24"/>
          <w:lang w:val="en-US"/>
        </w:rPr>
        <w:t>rodenticide</w:t>
      </w:r>
      <w:r w:rsidRPr="0099279C">
        <w:rPr>
          <w:rFonts w:cs="Times New Roman"/>
          <w:sz w:val="24"/>
          <w:szCs w:val="24"/>
          <w:lang w:val="en-US"/>
        </w:rPr>
        <w:t xml:space="preserve">-contaminated mice (secondary poisoning) (Eason et al., 2002; Erickson and Urban, 2004; Bowie and Ross, 2006). The </w:t>
      </w:r>
      <w:r w:rsidR="009160C0">
        <w:rPr>
          <w:rFonts w:cs="Times New Roman"/>
          <w:sz w:val="24"/>
          <w:szCs w:val="24"/>
          <w:lang w:val="en-US"/>
        </w:rPr>
        <w:t xml:space="preserve">low </w:t>
      </w:r>
      <w:r w:rsidRPr="0099279C">
        <w:rPr>
          <w:rFonts w:cs="Times New Roman"/>
          <w:sz w:val="24"/>
          <w:szCs w:val="24"/>
          <w:lang w:val="en-US"/>
        </w:rPr>
        <w:t xml:space="preserve">solubility of brodifacoum </w:t>
      </w:r>
      <w:r w:rsidR="009160C0">
        <w:rPr>
          <w:rFonts w:cs="Times New Roman"/>
          <w:sz w:val="24"/>
          <w:szCs w:val="24"/>
          <w:lang w:val="en-US"/>
        </w:rPr>
        <w:t xml:space="preserve">and diphacinone </w:t>
      </w:r>
      <w:r w:rsidRPr="0099279C">
        <w:rPr>
          <w:rFonts w:cs="Times New Roman"/>
          <w:sz w:val="24"/>
          <w:szCs w:val="24"/>
          <w:lang w:val="en-US"/>
        </w:rPr>
        <w:t xml:space="preserve">in water precludes significant exposure via drinking water. Dermal exposure will be minimal for western gulls given the non-liquid nature of the </w:t>
      </w:r>
      <w:r w:rsidR="009160C0">
        <w:rPr>
          <w:rFonts w:cs="Times New Roman"/>
          <w:sz w:val="24"/>
          <w:szCs w:val="24"/>
          <w:lang w:val="en-US"/>
        </w:rPr>
        <w:t xml:space="preserve">pellet </w:t>
      </w:r>
      <w:r w:rsidRPr="0099279C">
        <w:rPr>
          <w:rFonts w:cs="Times New Roman"/>
          <w:sz w:val="24"/>
          <w:szCs w:val="24"/>
          <w:lang w:val="en-US"/>
        </w:rPr>
        <w:t>formulation, and infrequency of contact (except for ingestion). The nature of the formulation (i.e., pellets) and low vapor pressure</w:t>
      </w:r>
      <w:r w:rsidR="009160C0">
        <w:rPr>
          <w:rFonts w:cs="Times New Roman"/>
          <w:sz w:val="24"/>
          <w:szCs w:val="24"/>
          <w:lang w:val="en-US"/>
        </w:rPr>
        <w:t>s for both compounds</w:t>
      </w:r>
      <w:r w:rsidRPr="0099279C">
        <w:rPr>
          <w:rFonts w:cs="Times New Roman"/>
          <w:sz w:val="24"/>
          <w:szCs w:val="24"/>
          <w:lang w:val="en-US"/>
        </w:rPr>
        <w:t xml:space="preserve"> preclude inhalation exposure.</w:t>
      </w:r>
    </w:p>
    <w:p w:rsidR="009A6FD2" w:rsidRPr="0099279C" w:rsidRDefault="00F57456" w:rsidP="009A6FD2">
      <w:pPr>
        <w:pStyle w:val="Heading2"/>
      </w:pPr>
      <w:bookmarkStart w:id="14" w:name="_Toc343007916"/>
      <w:r w:rsidRPr="0099279C">
        <w:t>Protection Goal and Assessment Endpoint</w:t>
      </w:r>
      <w:bookmarkEnd w:id="14"/>
    </w:p>
    <w:p w:rsidR="0047257F" w:rsidRDefault="001B1DA2" w:rsidP="009A6FD2">
      <w:pPr>
        <w:contextualSpacing/>
        <w:rPr>
          <w:rFonts w:cs="Times New Roman"/>
          <w:sz w:val="24"/>
          <w:szCs w:val="24"/>
          <w:lang w:val="en-US"/>
        </w:rPr>
      </w:pPr>
      <w:r w:rsidRPr="0099279C">
        <w:rPr>
          <w:rFonts w:cs="Times New Roman"/>
          <w:sz w:val="24"/>
          <w:szCs w:val="24"/>
          <w:lang w:val="en-US"/>
        </w:rPr>
        <w:t xml:space="preserve">Protection goals are defined by scientific knowledge and societal values, describe the overall aim of a risk-based decision making and are used as the basis for defining assessment endpoints. The protection goal for the </w:t>
      </w:r>
      <w:r w:rsidR="00BE7C91">
        <w:rPr>
          <w:rFonts w:cs="Times New Roman"/>
          <w:sz w:val="24"/>
          <w:szCs w:val="24"/>
          <w:lang w:val="en-US"/>
        </w:rPr>
        <w:t>SFI</w:t>
      </w:r>
      <w:r w:rsidRPr="0099279C">
        <w:rPr>
          <w:rFonts w:cs="Times New Roman"/>
          <w:sz w:val="24"/>
          <w:szCs w:val="24"/>
          <w:lang w:val="en-US"/>
        </w:rPr>
        <w:t xml:space="preserve"> mouse eradication project is the long-term maintenance of non-target wildlife species. </w:t>
      </w:r>
    </w:p>
    <w:p w:rsidR="0047257F" w:rsidRDefault="0047257F" w:rsidP="009A6FD2">
      <w:pPr>
        <w:contextualSpacing/>
        <w:rPr>
          <w:rFonts w:cs="Times New Roman"/>
          <w:sz w:val="24"/>
          <w:szCs w:val="24"/>
          <w:lang w:val="en-US"/>
        </w:rPr>
      </w:pPr>
    </w:p>
    <w:p w:rsidR="001B1DA2" w:rsidRPr="0099279C" w:rsidRDefault="0047257F" w:rsidP="009A6FD2">
      <w:pPr>
        <w:contextualSpacing/>
        <w:rPr>
          <w:rFonts w:cs="Times New Roman"/>
          <w:sz w:val="24"/>
          <w:szCs w:val="24"/>
          <w:lang w:val="en-US"/>
        </w:rPr>
      </w:pPr>
      <w:r>
        <w:rPr>
          <w:rFonts w:cs="Times New Roman"/>
          <w:sz w:val="24"/>
          <w:szCs w:val="24"/>
          <w:lang w:val="en-US"/>
        </w:rPr>
        <w:t>A</w:t>
      </w:r>
      <w:r w:rsidR="001B1DA2" w:rsidRPr="0099279C">
        <w:rPr>
          <w:rFonts w:cs="Times New Roman"/>
          <w:sz w:val="24"/>
          <w:szCs w:val="24"/>
          <w:lang w:val="en-US"/>
        </w:rPr>
        <w:t xml:space="preserve">ssessment endpoints are ecological characteristics </w:t>
      </w:r>
      <w:r>
        <w:rPr>
          <w:rFonts w:cs="Times New Roman"/>
          <w:sz w:val="24"/>
          <w:szCs w:val="24"/>
          <w:lang w:val="en-US"/>
        </w:rPr>
        <w:t xml:space="preserve">that are </w:t>
      </w:r>
      <w:r w:rsidR="001B1DA2" w:rsidRPr="0099279C">
        <w:rPr>
          <w:rFonts w:cs="Times New Roman"/>
          <w:sz w:val="24"/>
          <w:szCs w:val="24"/>
          <w:lang w:val="en-US"/>
        </w:rPr>
        <w:t>deemed important to evaluate and protect. They guide the assessment by providing a basis for assessing potential risks to receptors. Factors considered in selecting assessment endpoints include mode of action, potential exposure pathways, and sensitivity of ecological receptors. Assessment endpoints can be general (e.g., maintenance of bird populations) or specific (e.g., survival of western gulls) but must be relevant to the ecosystem they represent and susceptible to the stressors of concern (Suter et al., 1993).</w:t>
      </w:r>
      <w:r w:rsidR="0064794A" w:rsidRPr="0099279C">
        <w:rPr>
          <w:rFonts w:cs="Times New Roman"/>
          <w:sz w:val="24"/>
          <w:szCs w:val="24"/>
          <w:lang w:val="en-US"/>
        </w:rPr>
        <w:t xml:space="preserve"> </w:t>
      </w:r>
      <w:r w:rsidR="00F41289" w:rsidRPr="0099279C">
        <w:rPr>
          <w:rFonts w:cs="Times New Roman"/>
          <w:sz w:val="24"/>
          <w:szCs w:val="24"/>
          <w:lang w:val="en-US"/>
        </w:rPr>
        <w:t xml:space="preserve">The assessment endpoint for this </w:t>
      </w:r>
      <w:r w:rsidR="00F5557B">
        <w:rPr>
          <w:rFonts w:cs="Times New Roman"/>
          <w:sz w:val="24"/>
          <w:szCs w:val="24"/>
          <w:lang w:val="en-US"/>
        </w:rPr>
        <w:t>analysis</w:t>
      </w:r>
      <w:r w:rsidR="00F5557B" w:rsidRPr="0099279C">
        <w:rPr>
          <w:rFonts w:cs="Times New Roman"/>
          <w:sz w:val="24"/>
          <w:szCs w:val="24"/>
          <w:lang w:val="en-US"/>
        </w:rPr>
        <w:t xml:space="preserve"> </w:t>
      </w:r>
      <w:r w:rsidR="00F41289" w:rsidRPr="0099279C">
        <w:rPr>
          <w:rFonts w:cs="Times New Roman"/>
          <w:sz w:val="24"/>
          <w:szCs w:val="24"/>
          <w:lang w:val="en-US"/>
        </w:rPr>
        <w:t>is the</w:t>
      </w:r>
      <w:r w:rsidR="009A6FD2" w:rsidRPr="0099279C">
        <w:rPr>
          <w:rFonts w:cs="Times New Roman"/>
          <w:sz w:val="24"/>
          <w:szCs w:val="24"/>
          <w:lang w:val="en-US"/>
        </w:rPr>
        <w:t xml:space="preserve"> survival of juvenile and adult western gulls</w:t>
      </w:r>
      <w:r w:rsidR="00F41289" w:rsidRPr="0099279C">
        <w:rPr>
          <w:rFonts w:cs="Times New Roman"/>
          <w:sz w:val="24"/>
          <w:szCs w:val="24"/>
          <w:lang w:val="en-US"/>
        </w:rPr>
        <w:t xml:space="preserve"> following application of </w:t>
      </w:r>
      <w:r w:rsidR="00FD0A32">
        <w:rPr>
          <w:rFonts w:cs="Times New Roman"/>
          <w:sz w:val="24"/>
          <w:szCs w:val="24"/>
          <w:lang w:val="en-US"/>
        </w:rPr>
        <w:t>rodenticide</w:t>
      </w:r>
      <w:r w:rsidR="001B1DA2" w:rsidRPr="0099279C">
        <w:rPr>
          <w:rFonts w:cs="Times New Roman"/>
          <w:sz w:val="24"/>
          <w:szCs w:val="24"/>
          <w:lang w:val="en-US"/>
        </w:rPr>
        <w:t xml:space="preserve"> pelletized bait on </w:t>
      </w:r>
      <w:r w:rsidR="00BE7C91">
        <w:rPr>
          <w:rFonts w:cs="Times New Roman"/>
          <w:sz w:val="24"/>
          <w:szCs w:val="24"/>
          <w:lang w:val="en-US"/>
        </w:rPr>
        <w:t>SFI</w:t>
      </w:r>
      <w:r w:rsidR="001B1DA2" w:rsidRPr="0099279C">
        <w:rPr>
          <w:rFonts w:cs="Times New Roman"/>
          <w:sz w:val="24"/>
          <w:szCs w:val="24"/>
          <w:lang w:val="en-US"/>
        </w:rPr>
        <w:t>.</w:t>
      </w:r>
    </w:p>
    <w:p w:rsidR="001B1DA2" w:rsidRPr="0099279C" w:rsidRDefault="00F57456" w:rsidP="001B1DA2">
      <w:pPr>
        <w:pStyle w:val="Heading2"/>
      </w:pPr>
      <w:bookmarkStart w:id="15" w:name="_Toc343007917"/>
      <w:r w:rsidRPr="0099279C">
        <w:t>Measurement Endpoints</w:t>
      </w:r>
      <w:r w:rsidR="0064794A" w:rsidRPr="0099279C">
        <w:t xml:space="preserve"> and Analysis Plan</w:t>
      </w:r>
      <w:bookmarkEnd w:id="15"/>
    </w:p>
    <w:p w:rsidR="009A6FD2" w:rsidRPr="0099279C" w:rsidRDefault="006564AA" w:rsidP="009A6FD2">
      <w:pPr>
        <w:contextualSpacing/>
        <w:rPr>
          <w:rFonts w:cs="Times New Roman"/>
          <w:sz w:val="24"/>
          <w:szCs w:val="24"/>
          <w:lang w:val="en-US"/>
        </w:rPr>
      </w:pPr>
      <w:r>
        <w:rPr>
          <w:rFonts w:cs="Times New Roman"/>
          <w:sz w:val="24"/>
          <w:szCs w:val="24"/>
          <w:lang w:val="en-US"/>
        </w:rPr>
        <w:t>Measurement endpoints</w:t>
      </w:r>
      <w:r w:rsidR="00875565" w:rsidRPr="0099279C">
        <w:rPr>
          <w:rFonts w:cs="Times New Roman"/>
          <w:sz w:val="24"/>
          <w:szCs w:val="24"/>
          <w:lang w:val="en-US"/>
        </w:rPr>
        <w:t xml:space="preserve"> are the attributes used to quantify potential risks to an assessment endpoint (Suter et al., 1993). The challenge for risk assessors is to select measure</w:t>
      </w:r>
      <w:r>
        <w:rPr>
          <w:rFonts w:cs="Times New Roman"/>
          <w:sz w:val="24"/>
          <w:szCs w:val="24"/>
          <w:lang w:val="en-US"/>
        </w:rPr>
        <w:t>ment endpoints</w:t>
      </w:r>
      <w:r w:rsidR="00875565" w:rsidRPr="0099279C">
        <w:rPr>
          <w:rFonts w:cs="Times New Roman"/>
          <w:sz w:val="24"/>
          <w:szCs w:val="24"/>
          <w:lang w:val="en-US"/>
        </w:rPr>
        <w:t xml:space="preserve"> that will provide sufficient information to evaluate potential risks to the assessment endpoint. EPA (1998b) groups measure</w:t>
      </w:r>
      <w:r>
        <w:rPr>
          <w:rFonts w:cs="Times New Roman"/>
          <w:sz w:val="24"/>
          <w:szCs w:val="24"/>
          <w:lang w:val="en-US"/>
        </w:rPr>
        <w:t>ment endpoints</w:t>
      </w:r>
      <w:r w:rsidR="00875565" w:rsidRPr="0099279C">
        <w:rPr>
          <w:rFonts w:cs="Times New Roman"/>
          <w:sz w:val="24"/>
          <w:szCs w:val="24"/>
          <w:lang w:val="en-US"/>
        </w:rPr>
        <w:t xml:space="preserve"> into three categories. Measures of effect are measurable changes in an attribute of the assessment endpoint, or a surrogate, in response to the stressor</w:t>
      </w:r>
      <w:r>
        <w:rPr>
          <w:rFonts w:cs="Times New Roman"/>
          <w:sz w:val="24"/>
          <w:szCs w:val="24"/>
          <w:lang w:val="en-US"/>
        </w:rPr>
        <w:t xml:space="preserve"> (e.g., results of oral gavage studies on birds)</w:t>
      </w:r>
      <w:r w:rsidR="00875565" w:rsidRPr="0099279C">
        <w:rPr>
          <w:rFonts w:cs="Times New Roman"/>
          <w:sz w:val="24"/>
          <w:szCs w:val="24"/>
          <w:lang w:val="en-US"/>
        </w:rPr>
        <w:t xml:space="preserve">. Measures of exposure </w:t>
      </w:r>
      <w:r>
        <w:rPr>
          <w:rFonts w:cs="Times New Roman"/>
          <w:sz w:val="24"/>
          <w:szCs w:val="24"/>
          <w:lang w:val="en-US"/>
        </w:rPr>
        <w:t xml:space="preserve">(e.g., daily dose, tissue residues) </w:t>
      </w:r>
      <w:r w:rsidR="00875565" w:rsidRPr="0099279C">
        <w:rPr>
          <w:rFonts w:cs="Times New Roman"/>
          <w:sz w:val="24"/>
          <w:szCs w:val="24"/>
          <w:lang w:val="en-US"/>
        </w:rPr>
        <w:t>account for the presence and movement of the stressor in the environment and co-occurrence with the assessment endpoint. Measures of ecosystem and receptor characteristics consider the influence that the environment</w:t>
      </w:r>
      <w:r>
        <w:rPr>
          <w:rFonts w:cs="Times New Roman"/>
          <w:sz w:val="24"/>
          <w:szCs w:val="24"/>
          <w:lang w:val="en-US"/>
        </w:rPr>
        <w:t xml:space="preserve"> (e.g., rainfall events)</w:t>
      </w:r>
      <w:r w:rsidR="00875565" w:rsidRPr="0099279C">
        <w:rPr>
          <w:rFonts w:cs="Times New Roman"/>
          <w:sz w:val="24"/>
          <w:szCs w:val="24"/>
          <w:lang w:val="en-US"/>
        </w:rPr>
        <w:t xml:space="preserve">, and organism behavior and life history </w:t>
      </w:r>
      <w:r>
        <w:rPr>
          <w:rFonts w:cs="Times New Roman"/>
          <w:sz w:val="24"/>
          <w:szCs w:val="24"/>
          <w:lang w:val="en-US"/>
        </w:rPr>
        <w:t xml:space="preserve">(e.g., diet, timing of nesting) </w:t>
      </w:r>
      <w:r w:rsidR="00875565" w:rsidRPr="0099279C">
        <w:rPr>
          <w:rFonts w:cs="Times New Roman"/>
          <w:sz w:val="24"/>
          <w:szCs w:val="24"/>
          <w:lang w:val="en-US"/>
        </w:rPr>
        <w:t>will have on exposure and response to the stressor (EPA, 1998b).</w:t>
      </w:r>
    </w:p>
    <w:p w:rsidR="00875565" w:rsidRPr="0099279C" w:rsidRDefault="00875565" w:rsidP="009A6FD2">
      <w:pPr>
        <w:contextualSpacing/>
        <w:rPr>
          <w:rFonts w:cs="Times New Roman"/>
          <w:sz w:val="24"/>
          <w:szCs w:val="24"/>
          <w:lang w:val="en-US"/>
        </w:rPr>
      </w:pPr>
    </w:p>
    <w:p w:rsidR="00875565" w:rsidRPr="0099279C" w:rsidRDefault="00875565" w:rsidP="009A6FD2">
      <w:pPr>
        <w:contextualSpacing/>
        <w:rPr>
          <w:rFonts w:cs="Times New Roman"/>
          <w:sz w:val="24"/>
          <w:szCs w:val="24"/>
          <w:lang w:val="en-US"/>
        </w:rPr>
      </w:pPr>
      <w:r w:rsidRPr="0099279C">
        <w:rPr>
          <w:rFonts w:cs="Times New Roman"/>
          <w:sz w:val="24"/>
          <w:szCs w:val="24"/>
          <w:lang w:val="en-US"/>
        </w:rPr>
        <w:t>A probabilistic model known as the western gull risk model w</w:t>
      </w:r>
      <w:r w:rsidR="002D6D2A">
        <w:rPr>
          <w:rFonts w:cs="Times New Roman"/>
          <w:sz w:val="24"/>
          <w:szCs w:val="24"/>
          <w:lang w:val="en-US"/>
        </w:rPr>
        <w:t>as</w:t>
      </w:r>
      <w:r w:rsidRPr="0099279C">
        <w:rPr>
          <w:rFonts w:cs="Times New Roman"/>
          <w:sz w:val="24"/>
          <w:szCs w:val="24"/>
          <w:lang w:val="en-US"/>
        </w:rPr>
        <w:t xml:space="preserve"> used to generate estimates of total intake of </w:t>
      </w:r>
      <w:r w:rsidR="00FD0A32">
        <w:rPr>
          <w:rFonts w:cs="Times New Roman"/>
          <w:sz w:val="24"/>
          <w:szCs w:val="24"/>
          <w:lang w:val="en-US"/>
        </w:rPr>
        <w:t>rodenticide</w:t>
      </w:r>
      <w:r w:rsidRPr="0099279C">
        <w:rPr>
          <w:rFonts w:cs="Times New Roman"/>
          <w:sz w:val="24"/>
          <w:szCs w:val="24"/>
          <w:lang w:val="en-US"/>
        </w:rPr>
        <w:t xml:space="preserve"> by western gulls following the applications on </w:t>
      </w:r>
      <w:r w:rsidR="00BE7C91">
        <w:rPr>
          <w:rFonts w:cs="Times New Roman"/>
          <w:sz w:val="24"/>
          <w:szCs w:val="24"/>
          <w:lang w:val="en-US"/>
        </w:rPr>
        <w:t>SFI</w:t>
      </w:r>
      <w:r w:rsidRPr="0099279C">
        <w:rPr>
          <w:rFonts w:cs="Times New Roman"/>
          <w:sz w:val="24"/>
          <w:szCs w:val="24"/>
          <w:lang w:val="en-US"/>
        </w:rPr>
        <w:t>. The model include</w:t>
      </w:r>
      <w:r w:rsidR="002D6D2A">
        <w:rPr>
          <w:rFonts w:cs="Times New Roman"/>
          <w:sz w:val="24"/>
          <w:szCs w:val="24"/>
          <w:lang w:val="en-US"/>
        </w:rPr>
        <w:t>d</w:t>
      </w:r>
      <w:r w:rsidRPr="0099279C">
        <w:rPr>
          <w:rFonts w:cs="Times New Roman"/>
          <w:sz w:val="24"/>
          <w:szCs w:val="24"/>
          <w:lang w:val="en-US"/>
        </w:rPr>
        <w:t xml:space="preserve"> exposure from consumption of pellets and consumption of mice that have consumed pellets. The corresponding measures of effect are dose-response curves for </w:t>
      </w:r>
      <w:r w:rsidR="00FD0A32">
        <w:rPr>
          <w:rFonts w:cs="Times New Roman"/>
          <w:sz w:val="24"/>
          <w:szCs w:val="24"/>
          <w:lang w:val="en-US"/>
        </w:rPr>
        <w:t>bird</w:t>
      </w:r>
      <w:r w:rsidRPr="0099279C">
        <w:rPr>
          <w:rFonts w:cs="Times New Roman"/>
          <w:sz w:val="24"/>
          <w:szCs w:val="24"/>
          <w:lang w:val="en-US"/>
        </w:rPr>
        <w:t xml:space="preserve"> species that have been tested for sensitivity to brodifacoum </w:t>
      </w:r>
      <w:r w:rsidR="00FD0A32">
        <w:rPr>
          <w:rFonts w:cs="Times New Roman"/>
          <w:sz w:val="24"/>
          <w:szCs w:val="24"/>
          <w:lang w:val="en-US"/>
        </w:rPr>
        <w:t xml:space="preserve">and diphacinone </w:t>
      </w:r>
      <w:r w:rsidRPr="0099279C">
        <w:rPr>
          <w:rFonts w:cs="Times New Roman"/>
          <w:sz w:val="24"/>
          <w:szCs w:val="24"/>
          <w:lang w:val="en-US"/>
        </w:rPr>
        <w:t xml:space="preserve">in </w:t>
      </w:r>
      <w:r w:rsidR="00D738C7">
        <w:rPr>
          <w:rFonts w:cs="Times New Roman"/>
          <w:sz w:val="24"/>
          <w:szCs w:val="24"/>
          <w:lang w:val="en-US"/>
        </w:rPr>
        <w:t>laboratory</w:t>
      </w:r>
      <w:r w:rsidR="00D738C7" w:rsidRPr="0099279C">
        <w:rPr>
          <w:rFonts w:cs="Times New Roman"/>
          <w:sz w:val="24"/>
          <w:szCs w:val="24"/>
          <w:lang w:val="en-US"/>
        </w:rPr>
        <w:t xml:space="preserve"> </w:t>
      </w:r>
      <w:r w:rsidRPr="0099279C">
        <w:rPr>
          <w:rFonts w:cs="Times New Roman"/>
          <w:sz w:val="24"/>
          <w:szCs w:val="24"/>
          <w:lang w:val="en-US"/>
        </w:rPr>
        <w:t xml:space="preserve">exposure tests. </w:t>
      </w:r>
      <w:r w:rsidR="006564AA">
        <w:rPr>
          <w:rFonts w:cs="Times New Roman"/>
          <w:sz w:val="24"/>
          <w:szCs w:val="24"/>
          <w:lang w:val="en-US"/>
        </w:rPr>
        <w:t>The model is described in detail in chapters 3 and 4 of this report.</w:t>
      </w:r>
    </w:p>
    <w:p w:rsidR="007754A8" w:rsidRPr="0099279C" w:rsidRDefault="007754A8" w:rsidP="003D4D0A">
      <w:pPr>
        <w:pStyle w:val="Heading1"/>
        <w:sectPr w:rsidR="007754A8" w:rsidRPr="0099279C" w:rsidSect="00565C3A">
          <w:pgSz w:w="12240" w:h="15840"/>
          <w:pgMar w:top="1440" w:right="1440" w:bottom="1440" w:left="1440" w:header="708" w:footer="708" w:gutter="0"/>
          <w:cols w:space="708"/>
          <w:docGrid w:linePitch="360"/>
        </w:sectPr>
      </w:pPr>
    </w:p>
    <w:p w:rsidR="00475A4B" w:rsidRPr="0099279C" w:rsidRDefault="00824A63" w:rsidP="003D4D0A">
      <w:pPr>
        <w:pStyle w:val="Heading1"/>
      </w:pPr>
      <w:bookmarkStart w:id="16" w:name="_Toc343007918"/>
      <w:r w:rsidRPr="0099279C">
        <w:t>EXPOSURE MODEL</w:t>
      </w:r>
      <w:bookmarkEnd w:id="16"/>
    </w:p>
    <w:p w:rsidR="006554D5" w:rsidRPr="0099279C" w:rsidRDefault="006554D5" w:rsidP="006554D5">
      <w:pPr>
        <w:rPr>
          <w:rFonts w:cs="Times New Roman"/>
          <w:sz w:val="24"/>
          <w:szCs w:val="24"/>
          <w:lang w:val="en-US"/>
        </w:rPr>
      </w:pPr>
      <w:r w:rsidRPr="0099279C">
        <w:rPr>
          <w:rFonts w:cs="Times New Roman"/>
          <w:sz w:val="24"/>
          <w:szCs w:val="24"/>
          <w:lang w:val="en-US"/>
        </w:rPr>
        <w:t xml:space="preserve">We used a probabilistic model </w:t>
      </w:r>
      <w:r w:rsidR="00EC023D" w:rsidRPr="0099279C">
        <w:rPr>
          <w:rFonts w:cs="Times New Roman"/>
          <w:sz w:val="24"/>
          <w:szCs w:val="24"/>
          <w:lang w:val="en-US"/>
        </w:rPr>
        <w:t xml:space="preserve">known as the western gull risk model </w:t>
      </w:r>
      <w:r w:rsidRPr="0099279C">
        <w:rPr>
          <w:rFonts w:cs="Times New Roman"/>
          <w:sz w:val="24"/>
          <w:szCs w:val="24"/>
          <w:lang w:val="en-US"/>
        </w:rPr>
        <w:t xml:space="preserve">to estimate </w:t>
      </w:r>
      <w:r w:rsidR="00EB575B">
        <w:rPr>
          <w:rFonts w:cs="Times New Roman"/>
          <w:sz w:val="24"/>
          <w:szCs w:val="24"/>
          <w:lang w:val="en-US"/>
        </w:rPr>
        <w:t>the effects of</w:t>
      </w:r>
      <w:r w:rsidRPr="0099279C">
        <w:rPr>
          <w:rFonts w:cs="Times New Roman"/>
          <w:sz w:val="24"/>
          <w:szCs w:val="24"/>
          <w:lang w:val="en-US"/>
        </w:rPr>
        <w:t xml:space="preserve"> application</w:t>
      </w:r>
      <w:r w:rsidR="00EB575B">
        <w:rPr>
          <w:rFonts w:cs="Times New Roman"/>
          <w:sz w:val="24"/>
          <w:szCs w:val="24"/>
          <w:lang w:val="en-US"/>
        </w:rPr>
        <w:t>s</w:t>
      </w:r>
      <w:r w:rsidRPr="0099279C">
        <w:rPr>
          <w:rFonts w:cs="Times New Roman"/>
          <w:sz w:val="24"/>
          <w:szCs w:val="24"/>
          <w:lang w:val="en-US"/>
        </w:rPr>
        <w:t xml:space="preserve"> of brodifacoum</w:t>
      </w:r>
      <w:r w:rsidR="00EB575B">
        <w:rPr>
          <w:rFonts w:cs="Times New Roman"/>
          <w:sz w:val="24"/>
          <w:szCs w:val="24"/>
          <w:lang w:val="en-US"/>
        </w:rPr>
        <w:t xml:space="preserve"> and diphacinone to western gulls at</w:t>
      </w:r>
      <w:r w:rsidRPr="0099279C">
        <w:rPr>
          <w:rFonts w:cs="Times New Roman"/>
          <w:sz w:val="24"/>
          <w:szCs w:val="24"/>
          <w:lang w:val="en-US"/>
        </w:rPr>
        <w:t xml:space="preserve"> </w:t>
      </w:r>
      <w:r w:rsidR="00BE7C91">
        <w:rPr>
          <w:rFonts w:cs="Times New Roman"/>
          <w:sz w:val="24"/>
          <w:szCs w:val="24"/>
          <w:lang w:val="en-US"/>
        </w:rPr>
        <w:t>SFI</w:t>
      </w:r>
      <w:r w:rsidRPr="0099279C">
        <w:rPr>
          <w:rFonts w:cs="Times New Roman"/>
          <w:sz w:val="24"/>
          <w:szCs w:val="24"/>
          <w:lang w:val="en-US"/>
        </w:rPr>
        <w:t xml:space="preserve">. The following sections provide an overview of the model, </w:t>
      </w:r>
      <w:r w:rsidR="00C2501D" w:rsidRPr="0099279C">
        <w:rPr>
          <w:rFonts w:cs="Times New Roman"/>
          <w:sz w:val="24"/>
          <w:szCs w:val="24"/>
          <w:lang w:val="en-US"/>
        </w:rPr>
        <w:t xml:space="preserve">followed by </w:t>
      </w:r>
      <w:r w:rsidRPr="0099279C">
        <w:rPr>
          <w:rFonts w:cs="Times New Roman"/>
          <w:sz w:val="24"/>
          <w:szCs w:val="24"/>
          <w:lang w:val="en-US"/>
        </w:rPr>
        <w:t xml:space="preserve">a detailed description of the model </w:t>
      </w:r>
      <w:r w:rsidR="00F3356C">
        <w:rPr>
          <w:rFonts w:cs="Times New Roman"/>
          <w:sz w:val="24"/>
          <w:szCs w:val="24"/>
          <w:lang w:val="en-US"/>
        </w:rPr>
        <w:t>inputs and component</w:t>
      </w:r>
      <w:r w:rsidR="00F3356C" w:rsidRPr="0099279C">
        <w:rPr>
          <w:rFonts w:cs="Times New Roman"/>
          <w:sz w:val="24"/>
          <w:szCs w:val="24"/>
          <w:lang w:val="en-US"/>
        </w:rPr>
        <w:t>s</w:t>
      </w:r>
      <w:r w:rsidRPr="0099279C">
        <w:rPr>
          <w:rFonts w:cs="Times New Roman"/>
          <w:sz w:val="24"/>
          <w:szCs w:val="24"/>
          <w:lang w:val="en-US"/>
        </w:rPr>
        <w:t xml:space="preserve">. </w:t>
      </w:r>
    </w:p>
    <w:p w:rsidR="006554D5" w:rsidRPr="0099279C" w:rsidRDefault="006554D5" w:rsidP="006554D5">
      <w:pPr>
        <w:pStyle w:val="Heading2"/>
      </w:pPr>
      <w:bookmarkStart w:id="17" w:name="_Toc343007919"/>
      <w:r w:rsidRPr="0099279C">
        <w:t>Overview of Exposure Model</w:t>
      </w:r>
      <w:bookmarkEnd w:id="17"/>
    </w:p>
    <w:p w:rsidR="00AD0F87" w:rsidRPr="0099279C" w:rsidRDefault="000456AC" w:rsidP="006554D5">
      <w:pPr>
        <w:rPr>
          <w:rFonts w:cs="Times New Roman"/>
          <w:sz w:val="24"/>
          <w:szCs w:val="24"/>
          <w:lang w:val="en-US"/>
        </w:rPr>
      </w:pPr>
      <w:r w:rsidRPr="0099279C">
        <w:rPr>
          <w:rFonts w:cs="Times New Roman"/>
          <w:sz w:val="24"/>
          <w:szCs w:val="24"/>
          <w:lang w:val="en-US"/>
        </w:rPr>
        <w:t xml:space="preserve">The exposure </w:t>
      </w:r>
      <w:r w:rsidR="00D52406">
        <w:rPr>
          <w:rFonts w:cs="Times New Roman"/>
          <w:sz w:val="24"/>
          <w:szCs w:val="24"/>
          <w:lang w:val="en-US"/>
        </w:rPr>
        <w:t>portion of the</w:t>
      </w:r>
      <w:r w:rsidRPr="0099279C">
        <w:rPr>
          <w:rFonts w:cs="Times New Roman"/>
          <w:sz w:val="24"/>
          <w:szCs w:val="24"/>
          <w:lang w:val="en-US"/>
        </w:rPr>
        <w:t xml:space="preserve"> western </w:t>
      </w:r>
      <w:r w:rsidR="00D52406" w:rsidRPr="0099279C">
        <w:rPr>
          <w:rFonts w:cs="Times New Roman"/>
          <w:sz w:val="24"/>
          <w:szCs w:val="24"/>
          <w:lang w:val="en-US"/>
        </w:rPr>
        <w:t>gull</w:t>
      </w:r>
      <w:r w:rsidR="00D52406">
        <w:rPr>
          <w:rFonts w:cs="Times New Roman"/>
          <w:sz w:val="24"/>
          <w:szCs w:val="24"/>
          <w:lang w:val="en-US"/>
        </w:rPr>
        <w:t xml:space="preserve"> risk model</w:t>
      </w:r>
      <w:r w:rsidR="00D52406" w:rsidRPr="0099279C">
        <w:rPr>
          <w:rFonts w:cs="Times New Roman"/>
          <w:sz w:val="24"/>
          <w:szCs w:val="24"/>
          <w:lang w:val="en-US"/>
        </w:rPr>
        <w:t xml:space="preserve"> </w:t>
      </w:r>
      <w:r w:rsidRPr="0099279C">
        <w:rPr>
          <w:rFonts w:cs="Times New Roman"/>
          <w:sz w:val="24"/>
          <w:szCs w:val="24"/>
          <w:lang w:val="en-US"/>
        </w:rPr>
        <w:t xml:space="preserve">includes both the primary and secondary routes of </w:t>
      </w:r>
      <w:r w:rsidR="001E68C7" w:rsidRPr="0099279C">
        <w:rPr>
          <w:rFonts w:cs="Times New Roman"/>
          <w:sz w:val="24"/>
          <w:szCs w:val="24"/>
          <w:lang w:val="en-US"/>
        </w:rPr>
        <w:t xml:space="preserve">dietary </w:t>
      </w:r>
      <w:r w:rsidRPr="0099279C">
        <w:rPr>
          <w:rFonts w:cs="Times New Roman"/>
          <w:sz w:val="24"/>
          <w:szCs w:val="24"/>
          <w:lang w:val="en-US"/>
        </w:rPr>
        <w:t>exposure</w:t>
      </w:r>
      <w:r w:rsidR="00221807" w:rsidRPr="0099279C">
        <w:rPr>
          <w:rFonts w:cs="Times New Roman"/>
          <w:sz w:val="24"/>
          <w:szCs w:val="24"/>
          <w:lang w:val="en-US"/>
        </w:rPr>
        <w:t xml:space="preserve"> (Figure 3-1)</w:t>
      </w:r>
      <w:r w:rsidRPr="0099279C">
        <w:rPr>
          <w:rFonts w:cs="Times New Roman"/>
          <w:sz w:val="24"/>
          <w:szCs w:val="24"/>
          <w:lang w:val="en-US"/>
        </w:rPr>
        <w:t xml:space="preserve">. Once ingested, brodifacoum </w:t>
      </w:r>
      <w:r w:rsidR="00D738C7">
        <w:rPr>
          <w:rFonts w:cs="Times New Roman"/>
          <w:sz w:val="24"/>
          <w:szCs w:val="24"/>
          <w:lang w:val="en-US"/>
        </w:rPr>
        <w:t xml:space="preserve">and diphacinone </w:t>
      </w:r>
      <w:r w:rsidRPr="0099279C">
        <w:rPr>
          <w:rFonts w:cs="Times New Roman"/>
          <w:sz w:val="24"/>
          <w:szCs w:val="24"/>
          <w:lang w:val="en-US"/>
        </w:rPr>
        <w:t xml:space="preserve">accumulate and </w:t>
      </w:r>
      <w:r w:rsidR="00D738C7">
        <w:rPr>
          <w:rFonts w:cs="Times New Roman"/>
          <w:sz w:val="24"/>
          <w:szCs w:val="24"/>
          <w:lang w:val="en-US"/>
        </w:rPr>
        <w:t>are</w:t>
      </w:r>
      <w:r w:rsidR="00D738C7" w:rsidRPr="0099279C">
        <w:rPr>
          <w:rFonts w:cs="Times New Roman"/>
          <w:sz w:val="24"/>
          <w:szCs w:val="24"/>
          <w:lang w:val="en-US"/>
        </w:rPr>
        <w:t xml:space="preserve"> </w:t>
      </w:r>
      <w:r w:rsidRPr="0099279C">
        <w:rPr>
          <w:rFonts w:cs="Times New Roman"/>
          <w:sz w:val="24"/>
          <w:szCs w:val="24"/>
          <w:lang w:val="en-US"/>
        </w:rPr>
        <w:t>persistent in tissues</w:t>
      </w:r>
      <w:r w:rsidR="00CB5244" w:rsidRPr="0099279C">
        <w:rPr>
          <w:rFonts w:cs="Times New Roman"/>
          <w:sz w:val="24"/>
          <w:szCs w:val="24"/>
          <w:lang w:val="en-US"/>
        </w:rPr>
        <w:t xml:space="preserve"> of birds</w:t>
      </w:r>
      <w:r w:rsidRPr="0099279C">
        <w:rPr>
          <w:rFonts w:cs="Times New Roman"/>
          <w:sz w:val="24"/>
          <w:szCs w:val="24"/>
          <w:lang w:val="en-US"/>
        </w:rPr>
        <w:t>, particularly the liver (</w:t>
      </w:r>
      <w:r w:rsidR="00D738C7">
        <w:rPr>
          <w:rFonts w:cs="Times New Roman"/>
          <w:sz w:val="24"/>
          <w:szCs w:val="24"/>
          <w:lang w:val="en-US"/>
        </w:rPr>
        <w:t xml:space="preserve">Erickson and Urban, 2004; </w:t>
      </w:r>
      <w:r w:rsidRPr="0099279C">
        <w:rPr>
          <w:rFonts w:cs="Times New Roman"/>
          <w:sz w:val="24"/>
          <w:szCs w:val="24"/>
          <w:lang w:val="en-US"/>
        </w:rPr>
        <w:t xml:space="preserve">Fisher, 2009). The </w:t>
      </w:r>
      <w:r w:rsidR="001E68C7" w:rsidRPr="0099279C">
        <w:rPr>
          <w:rFonts w:cs="Times New Roman"/>
          <w:sz w:val="24"/>
          <w:szCs w:val="24"/>
          <w:lang w:val="en-US"/>
        </w:rPr>
        <w:t xml:space="preserve">western gull risk </w:t>
      </w:r>
      <w:r w:rsidRPr="0099279C">
        <w:rPr>
          <w:rFonts w:cs="Times New Roman"/>
          <w:sz w:val="24"/>
          <w:szCs w:val="24"/>
          <w:lang w:val="en-US"/>
        </w:rPr>
        <w:t xml:space="preserve">model estimates daily intake of </w:t>
      </w:r>
      <w:r w:rsidR="00D738C7">
        <w:rPr>
          <w:rFonts w:cs="Times New Roman"/>
          <w:sz w:val="24"/>
          <w:szCs w:val="24"/>
          <w:lang w:val="en-US"/>
        </w:rPr>
        <w:t>rodenticide</w:t>
      </w:r>
      <w:r w:rsidR="00D738C7" w:rsidRPr="0099279C">
        <w:rPr>
          <w:rFonts w:cs="Times New Roman"/>
          <w:sz w:val="24"/>
          <w:szCs w:val="24"/>
          <w:lang w:val="en-US"/>
        </w:rPr>
        <w:t xml:space="preserve"> </w:t>
      </w:r>
      <w:r w:rsidRPr="0099279C">
        <w:rPr>
          <w:rFonts w:cs="Times New Roman"/>
          <w:sz w:val="24"/>
          <w:szCs w:val="24"/>
          <w:lang w:val="en-US"/>
        </w:rPr>
        <w:t>from ingestion of pellets and mice</w:t>
      </w:r>
      <w:r w:rsidR="001E68C7" w:rsidRPr="0099279C">
        <w:rPr>
          <w:rFonts w:cs="Times New Roman"/>
          <w:sz w:val="24"/>
          <w:szCs w:val="24"/>
          <w:lang w:val="en-US"/>
        </w:rPr>
        <w:t xml:space="preserve"> for each of 90 days following initial application</w:t>
      </w:r>
      <w:r w:rsidR="00D738C7">
        <w:rPr>
          <w:rFonts w:cs="Times New Roman"/>
          <w:sz w:val="24"/>
          <w:szCs w:val="24"/>
          <w:lang w:val="en-US"/>
        </w:rPr>
        <w:t xml:space="preserve">. The whole body tissue concentration on any given day is the total daily intake for that day plus the tissue concentration </w:t>
      </w:r>
      <w:r w:rsidR="00D52406">
        <w:rPr>
          <w:rFonts w:cs="Times New Roman"/>
          <w:sz w:val="24"/>
          <w:szCs w:val="24"/>
          <w:lang w:val="en-US"/>
        </w:rPr>
        <w:t xml:space="preserve">remaining </w:t>
      </w:r>
      <w:r w:rsidR="00D738C7">
        <w:rPr>
          <w:rFonts w:cs="Times New Roman"/>
          <w:sz w:val="24"/>
          <w:szCs w:val="24"/>
          <w:lang w:val="en-US"/>
        </w:rPr>
        <w:t>from the previous day,</w:t>
      </w:r>
      <w:r w:rsidR="00AD0F87">
        <w:rPr>
          <w:rFonts w:cs="Times New Roman"/>
          <w:sz w:val="24"/>
          <w:szCs w:val="24"/>
          <w:lang w:val="en-US"/>
        </w:rPr>
        <w:t xml:space="preserve"> </w:t>
      </w:r>
    </w:p>
    <w:p w:rsidR="0050310A" w:rsidRPr="0099279C" w:rsidRDefault="00D738C7" w:rsidP="0050310A">
      <w:pPr>
        <w:jc w:val="center"/>
        <w:rPr>
          <w:rFonts w:cs="Times New Roman"/>
          <w:sz w:val="24"/>
          <w:szCs w:val="24"/>
          <w:lang w:val="en-US"/>
        </w:rPr>
      </w:pPr>
      <w:r w:rsidRPr="00D738C7">
        <w:rPr>
          <w:rFonts w:cs="Times New Roman"/>
          <w:position w:val="-14"/>
          <w:sz w:val="24"/>
          <w:szCs w:val="24"/>
          <w:lang w:val="en-US"/>
        </w:rPr>
        <w:object w:dxaOrig="3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20.15pt" o:ole="">
            <v:imagedata r:id="rId18" o:title=""/>
          </v:shape>
          <o:OLEObject Type="Embed" ProgID="Equation.3" ShapeID="_x0000_i1025" DrawAspect="Content" ObjectID="_1416825776" r:id="rId19"/>
        </w:object>
      </w:r>
    </w:p>
    <w:p w:rsidR="00A24258" w:rsidRDefault="00C444BE" w:rsidP="0050310A">
      <w:pPr>
        <w:rPr>
          <w:rFonts w:cs="Times New Roman"/>
          <w:sz w:val="24"/>
          <w:szCs w:val="24"/>
          <w:lang w:val="en-US"/>
        </w:rPr>
      </w:pPr>
      <w:proofErr w:type="gramStart"/>
      <w:r w:rsidRPr="0099279C">
        <w:rPr>
          <w:rFonts w:cs="Times New Roman"/>
          <w:sz w:val="24"/>
          <w:szCs w:val="24"/>
          <w:lang w:val="en-US"/>
        </w:rPr>
        <w:t>w</w:t>
      </w:r>
      <w:r w:rsidR="0050310A" w:rsidRPr="0099279C">
        <w:rPr>
          <w:rFonts w:cs="Times New Roman"/>
          <w:sz w:val="24"/>
          <w:szCs w:val="24"/>
          <w:lang w:val="en-US"/>
        </w:rPr>
        <w:t>here</w:t>
      </w:r>
      <w:proofErr w:type="gramEnd"/>
      <w:r w:rsidR="0050310A" w:rsidRPr="0099279C">
        <w:rPr>
          <w:rFonts w:cs="Times New Roman"/>
          <w:sz w:val="24"/>
          <w:szCs w:val="24"/>
          <w:lang w:val="en-US"/>
        </w:rPr>
        <w:t xml:space="preserve"> </w:t>
      </w:r>
      <w:r w:rsidR="00D738C7" w:rsidRPr="0099279C">
        <w:rPr>
          <w:rFonts w:cs="Times New Roman"/>
          <w:i/>
          <w:sz w:val="24"/>
          <w:szCs w:val="24"/>
          <w:lang w:val="en-US"/>
        </w:rPr>
        <w:t>C</w:t>
      </w:r>
      <w:r w:rsidR="00D738C7">
        <w:rPr>
          <w:rFonts w:cs="Times New Roman"/>
          <w:i/>
          <w:sz w:val="24"/>
          <w:szCs w:val="24"/>
          <w:vertAlign w:val="subscript"/>
          <w:lang w:val="en-US"/>
        </w:rPr>
        <w:t>gull</w:t>
      </w:r>
      <w:r w:rsidR="00D738C7"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whole body tissue concentration</w:t>
      </w:r>
      <w:r w:rsidR="0050310A" w:rsidRPr="0099279C">
        <w:rPr>
          <w:rFonts w:cs="Times New Roman"/>
          <w:sz w:val="24"/>
          <w:szCs w:val="24"/>
          <w:lang w:val="en-US"/>
        </w:rPr>
        <w:t xml:space="preserve"> in mg/kg body weight (bw), </w:t>
      </w:r>
      <w:r w:rsidR="0050310A" w:rsidRPr="0099279C">
        <w:rPr>
          <w:rFonts w:cs="Times New Roman"/>
          <w:i/>
          <w:sz w:val="24"/>
          <w:szCs w:val="24"/>
          <w:lang w:val="en-US"/>
        </w:rPr>
        <w:t>TDI</w:t>
      </w:r>
      <w:r w:rsidR="0050310A" w:rsidRPr="0099279C">
        <w:rPr>
          <w:rFonts w:cs="Times New Roman"/>
          <w:sz w:val="24"/>
          <w:szCs w:val="24"/>
          <w:lang w:val="en-US"/>
        </w:rPr>
        <w:t xml:space="preserve"> is total daily intake of </w:t>
      </w:r>
      <w:r w:rsidR="006E1FE1">
        <w:rPr>
          <w:rFonts w:cs="Times New Roman"/>
          <w:sz w:val="24"/>
          <w:szCs w:val="24"/>
          <w:lang w:val="en-US"/>
        </w:rPr>
        <w:t>rodenticide</w:t>
      </w:r>
      <w:r w:rsidR="006E1FE1" w:rsidRPr="0099279C">
        <w:rPr>
          <w:rFonts w:cs="Times New Roman"/>
          <w:sz w:val="24"/>
          <w:szCs w:val="24"/>
          <w:lang w:val="en-US"/>
        </w:rPr>
        <w:t xml:space="preserve"> </w:t>
      </w:r>
      <w:r w:rsidR="0050310A" w:rsidRPr="0099279C">
        <w:rPr>
          <w:rFonts w:cs="Times New Roman"/>
          <w:sz w:val="24"/>
          <w:szCs w:val="24"/>
          <w:lang w:val="en-US"/>
        </w:rPr>
        <w:t xml:space="preserve">(mg/kg bw/day), and </w:t>
      </w:r>
      <w:r w:rsidR="006E1FE1">
        <w:rPr>
          <w:rFonts w:cs="Times New Roman"/>
          <w:i/>
          <w:sz w:val="24"/>
          <w:szCs w:val="24"/>
          <w:lang w:val="en-US"/>
        </w:rPr>
        <w:t>RME</w:t>
      </w:r>
      <w:r w:rsidR="006E1FE1"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daily rate of metabolism and elimination (d</w:t>
      </w:r>
      <w:r w:rsidR="00FF1884" w:rsidRPr="00FF1884">
        <w:rPr>
          <w:rFonts w:cs="Times New Roman"/>
          <w:sz w:val="24"/>
          <w:szCs w:val="24"/>
          <w:vertAlign w:val="superscript"/>
          <w:lang w:val="en-US"/>
        </w:rPr>
        <w:t>-1</w:t>
      </w:r>
      <w:r w:rsidR="006E1FE1">
        <w:rPr>
          <w:rFonts w:cs="Times New Roman"/>
          <w:sz w:val="24"/>
          <w:szCs w:val="24"/>
          <w:lang w:val="en-US"/>
        </w:rPr>
        <w:t>)</w:t>
      </w:r>
      <w:r w:rsidR="0050310A" w:rsidRPr="0099279C">
        <w:rPr>
          <w:rFonts w:cs="Times New Roman"/>
          <w:sz w:val="24"/>
          <w:szCs w:val="24"/>
          <w:lang w:val="en-US"/>
        </w:rPr>
        <w:t>.</w:t>
      </w:r>
      <w:r w:rsidRPr="0099279C">
        <w:rPr>
          <w:rFonts w:cs="Times New Roman"/>
          <w:sz w:val="24"/>
          <w:szCs w:val="24"/>
          <w:lang w:val="en-US"/>
        </w:rPr>
        <w:t xml:space="preserve"> The model runs for a total of 90 days to account for the possibility of two </w:t>
      </w:r>
      <w:r w:rsidR="006E1FE1">
        <w:rPr>
          <w:rFonts w:cs="Times New Roman"/>
          <w:sz w:val="24"/>
          <w:szCs w:val="24"/>
          <w:lang w:val="en-US"/>
        </w:rPr>
        <w:t xml:space="preserve">or three </w:t>
      </w:r>
      <w:r w:rsidRPr="0099279C">
        <w:rPr>
          <w:rFonts w:cs="Times New Roman"/>
          <w:sz w:val="24"/>
          <w:szCs w:val="24"/>
          <w:lang w:val="en-US"/>
        </w:rPr>
        <w:t xml:space="preserve">applications with an interval of up to </w:t>
      </w:r>
      <w:r w:rsidR="00D52406">
        <w:rPr>
          <w:rFonts w:cs="Times New Roman"/>
          <w:sz w:val="24"/>
          <w:szCs w:val="24"/>
          <w:lang w:val="en-US"/>
        </w:rPr>
        <w:t>several weeks</w:t>
      </w:r>
      <w:r w:rsidRPr="0099279C">
        <w:rPr>
          <w:rFonts w:cs="Times New Roman"/>
          <w:sz w:val="24"/>
          <w:szCs w:val="24"/>
          <w:lang w:val="en-US"/>
        </w:rPr>
        <w:t xml:space="preserve"> apart. The second </w:t>
      </w:r>
      <w:r w:rsidR="006E1FE1">
        <w:rPr>
          <w:rFonts w:cs="Times New Roman"/>
          <w:sz w:val="24"/>
          <w:szCs w:val="24"/>
          <w:lang w:val="en-US"/>
        </w:rPr>
        <w:t xml:space="preserve">and third </w:t>
      </w:r>
      <w:r w:rsidRPr="0099279C">
        <w:rPr>
          <w:rFonts w:cs="Times New Roman"/>
          <w:sz w:val="24"/>
          <w:szCs w:val="24"/>
          <w:lang w:val="en-US"/>
        </w:rPr>
        <w:t>application</w:t>
      </w:r>
      <w:r w:rsidR="006E1FE1">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However, by 90 days, the combination of </w:t>
      </w:r>
      <w:r w:rsidR="006E1FE1">
        <w:rPr>
          <w:rFonts w:cs="Times New Roman"/>
          <w:sz w:val="24"/>
          <w:szCs w:val="24"/>
          <w:lang w:val="en-US"/>
        </w:rPr>
        <w:t>weathering</w:t>
      </w:r>
      <w:r w:rsidRPr="0099279C">
        <w:rPr>
          <w:rFonts w:cs="Times New Roman"/>
          <w:sz w:val="24"/>
          <w:szCs w:val="24"/>
          <w:lang w:val="en-US"/>
        </w:rPr>
        <w:t xml:space="preserve"> and consumption by gulls should have removed all or very nearly all </w:t>
      </w:r>
      <w:r w:rsidR="006E1FE1">
        <w:rPr>
          <w:rFonts w:cs="Times New Roman"/>
          <w:sz w:val="24"/>
          <w:szCs w:val="24"/>
          <w:lang w:val="en-US"/>
        </w:rPr>
        <w:t>rodenticide</w:t>
      </w:r>
      <w:r w:rsidR="006E1FE1" w:rsidRPr="0099279C">
        <w:rPr>
          <w:rFonts w:cs="Times New Roman"/>
          <w:sz w:val="24"/>
          <w:szCs w:val="24"/>
          <w:lang w:val="en-US"/>
        </w:rPr>
        <w:t xml:space="preserve"> </w:t>
      </w:r>
      <w:r w:rsidRPr="0099279C">
        <w:rPr>
          <w:rFonts w:cs="Times New Roman"/>
          <w:sz w:val="24"/>
          <w:szCs w:val="24"/>
          <w:lang w:val="en-US"/>
        </w:rPr>
        <w:t>pellets from the environment</w:t>
      </w:r>
      <w:r w:rsidR="00D52406">
        <w:rPr>
          <w:rFonts w:cs="Times New Roman"/>
          <w:sz w:val="24"/>
          <w:szCs w:val="24"/>
          <w:lang w:val="en-US"/>
        </w:rPr>
        <w:t xml:space="preserve"> (Howald et al., 2001)</w:t>
      </w:r>
      <w:r w:rsidRPr="0099279C">
        <w:rPr>
          <w:rFonts w:cs="Times New Roman"/>
          <w:sz w:val="24"/>
          <w:szCs w:val="24"/>
          <w:lang w:val="en-US"/>
        </w:rPr>
        <w:t xml:space="preserve">. </w:t>
      </w:r>
      <w:r w:rsidR="006E1FE1">
        <w:rPr>
          <w:rFonts w:cs="Times New Roman"/>
          <w:sz w:val="24"/>
          <w:szCs w:val="24"/>
          <w:lang w:val="en-US"/>
        </w:rPr>
        <w:t xml:space="preserve">The exposure metric chosen by the model for comparison to the effects metric is the maximum </w:t>
      </w:r>
      <w:r w:rsidR="00FF1884" w:rsidRPr="00FF1884">
        <w:rPr>
          <w:rFonts w:cs="Times New Roman"/>
          <w:i/>
          <w:sz w:val="24"/>
          <w:szCs w:val="24"/>
          <w:lang w:val="en-US"/>
        </w:rPr>
        <w:t>C</w:t>
      </w:r>
      <w:r w:rsidR="00FF1884" w:rsidRPr="00FF1884">
        <w:rPr>
          <w:rFonts w:cs="Times New Roman"/>
          <w:i/>
          <w:sz w:val="24"/>
          <w:szCs w:val="24"/>
          <w:vertAlign w:val="subscript"/>
          <w:lang w:val="en-US"/>
        </w:rPr>
        <w:t>gull, day i</w:t>
      </w:r>
      <w:r w:rsidR="00FF1884" w:rsidRPr="00FF1884">
        <w:rPr>
          <w:rFonts w:cs="Times New Roman"/>
          <w:sz w:val="24"/>
          <w:szCs w:val="24"/>
          <w:vertAlign w:val="subscript"/>
          <w:lang w:val="en-US"/>
        </w:rPr>
        <w:t xml:space="preserve"> </w:t>
      </w:r>
      <w:r w:rsidR="006E1FE1">
        <w:rPr>
          <w:rFonts w:cs="Times New Roman"/>
          <w:sz w:val="24"/>
          <w:szCs w:val="24"/>
          <w:lang w:val="en-US"/>
        </w:rPr>
        <w:t>estimated during the 90-day simulation</w:t>
      </w:r>
      <w:r w:rsidR="00B43A57" w:rsidRPr="0099279C">
        <w:rPr>
          <w:rFonts w:cs="Times New Roman"/>
          <w:sz w:val="24"/>
          <w:szCs w:val="24"/>
          <w:lang w:val="en-US"/>
        </w:rPr>
        <w:t xml:space="preserve">. </w:t>
      </w:r>
      <w:r w:rsidR="00F52425" w:rsidRPr="0099279C">
        <w:rPr>
          <w:rFonts w:cs="Times New Roman"/>
          <w:sz w:val="24"/>
          <w:szCs w:val="24"/>
          <w:lang w:val="en-US"/>
        </w:rPr>
        <w:t xml:space="preserve">In practice, </w:t>
      </w:r>
      <w:r w:rsidR="006E1FE1">
        <w:rPr>
          <w:rFonts w:cs="Times New Roman"/>
          <w:sz w:val="24"/>
          <w:szCs w:val="24"/>
          <w:lang w:val="en-US"/>
        </w:rPr>
        <w:t>concentrations in gull tissues</w:t>
      </w:r>
      <w:r w:rsidR="00F52425" w:rsidRPr="0099279C">
        <w:rPr>
          <w:rFonts w:cs="Times New Roman"/>
          <w:sz w:val="24"/>
          <w:szCs w:val="24"/>
          <w:lang w:val="en-US"/>
        </w:rPr>
        <w:t xml:space="preserve"> </w:t>
      </w:r>
      <w:r w:rsidR="0021090E">
        <w:rPr>
          <w:rFonts w:cs="Times New Roman"/>
          <w:sz w:val="24"/>
          <w:szCs w:val="24"/>
          <w:lang w:val="en-US"/>
        </w:rPr>
        <w:t>stop increasing</w:t>
      </w:r>
      <w:r w:rsidR="00F52425" w:rsidRPr="0099279C">
        <w:rPr>
          <w:rFonts w:cs="Times New Roman"/>
          <w:sz w:val="24"/>
          <w:szCs w:val="24"/>
          <w:lang w:val="en-US"/>
        </w:rPr>
        <w:t xml:space="preserve"> </w:t>
      </w:r>
      <w:r w:rsidR="0021090E">
        <w:rPr>
          <w:rFonts w:cs="Times New Roman"/>
          <w:sz w:val="24"/>
          <w:szCs w:val="24"/>
          <w:lang w:val="en-US"/>
        </w:rPr>
        <w:t>a few days</w:t>
      </w:r>
      <w:r w:rsidR="0021090E" w:rsidRPr="0099279C">
        <w:rPr>
          <w:rFonts w:cs="Times New Roman"/>
          <w:sz w:val="24"/>
          <w:szCs w:val="24"/>
          <w:lang w:val="en-US"/>
        </w:rPr>
        <w:t xml:space="preserve"> </w:t>
      </w:r>
      <w:r w:rsidR="00F52425" w:rsidRPr="0099279C">
        <w:rPr>
          <w:rFonts w:cs="Times New Roman"/>
          <w:sz w:val="24"/>
          <w:szCs w:val="24"/>
          <w:lang w:val="en-US"/>
        </w:rPr>
        <w:t xml:space="preserve">after the first significant rain event following the </w:t>
      </w:r>
      <w:r w:rsidR="006E1FE1">
        <w:rPr>
          <w:rFonts w:cs="Times New Roman"/>
          <w:sz w:val="24"/>
          <w:szCs w:val="24"/>
          <w:lang w:val="en-US"/>
        </w:rPr>
        <w:t>last</w:t>
      </w:r>
      <w:r w:rsidR="006E1FE1" w:rsidRPr="0099279C">
        <w:rPr>
          <w:rFonts w:cs="Times New Roman"/>
          <w:sz w:val="24"/>
          <w:szCs w:val="24"/>
          <w:lang w:val="en-US"/>
        </w:rPr>
        <w:t xml:space="preserve"> </w:t>
      </w:r>
      <w:r w:rsidR="00F52425" w:rsidRPr="0099279C">
        <w:rPr>
          <w:rFonts w:cs="Times New Roman"/>
          <w:sz w:val="24"/>
          <w:szCs w:val="24"/>
          <w:lang w:val="en-US"/>
        </w:rPr>
        <w:t>application</w:t>
      </w:r>
      <w:r w:rsidR="006E1FE1">
        <w:rPr>
          <w:rFonts w:cs="Times New Roman"/>
          <w:sz w:val="24"/>
          <w:szCs w:val="24"/>
          <w:lang w:val="en-US"/>
        </w:rPr>
        <w:t xml:space="preserve"> of rodenticide</w:t>
      </w:r>
      <w:r w:rsidR="00F52425" w:rsidRPr="0099279C">
        <w:rPr>
          <w:rFonts w:cs="Times New Roman"/>
          <w:sz w:val="24"/>
          <w:szCs w:val="24"/>
          <w:lang w:val="en-US"/>
        </w:rPr>
        <w:t>.</w:t>
      </w:r>
    </w:p>
    <w:p w:rsidR="00AD0F87" w:rsidRDefault="007B1D18" w:rsidP="007B1D18">
      <w:pPr>
        <w:jc w:val="center"/>
        <w:rPr>
          <w:rFonts w:cs="Times New Roman"/>
          <w:sz w:val="24"/>
          <w:szCs w:val="24"/>
          <w:lang w:val="en-US"/>
        </w:rPr>
      </w:pPr>
      <w:r w:rsidRPr="007B1D18">
        <w:rPr>
          <w:rFonts w:cs="Times New Roman"/>
          <w:noProof/>
          <w:sz w:val="24"/>
          <w:szCs w:val="24"/>
          <w:lang w:val="en-US"/>
        </w:rPr>
        <mc:AlternateContent>
          <mc:Choice Requires="wpg">
            <w:drawing>
              <wp:inline distT="0" distB="0" distL="0" distR="0" wp14:anchorId="2EC7EE4F" wp14:editId="470E147B">
                <wp:extent cx="5943600" cy="6767195"/>
                <wp:effectExtent l="1477575150" t="19050" r="571500" b="624205"/>
                <wp:docPr id="73" name="Group 72"/>
                <wp:cNvGraphicFramePr/>
                <a:graphic xmlns:a="http://schemas.openxmlformats.org/drawingml/2006/main">
                  <a:graphicData uri="http://schemas.microsoft.com/office/word/2010/wordprocessingGroup">
                    <wpg:wgp>
                      <wpg:cNvGrpSpPr/>
                      <wpg:grpSpPr>
                        <a:xfrm>
                          <a:off x="0" y="0"/>
                          <a:ext cx="6495043" cy="7394820"/>
                          <a:chOff x="-1477296809" y="763512"/>
                          <a:chExt cx="1484052500" cy="7394820"/>
                        </a:xfrm>
                      </wpg:grpSpPr>
                      <wpg:grpSp>
                        <wpg:cNvPr id="45" name="Group 45"/>
                        <wpg:cNvGrpSpPr>
                          <a:grpSpLocks/>
                        </wpg:cNvGrpSpPr>
                        <wpg:grpSpPr bwMode="auto">
                          <a:xfrm>
                            <a:off x="-1477296809" y="2731730"/>
                            <a:ext cx="1776" cy="406400"/>
                            <a:chOff x="1182821" y="2731730"/>
                            <a:chExt cx="1776" cy="192"/>
                          </a:xfrm>
                        </wpg:grpSpPr>
                        <wps:wsp>
                          <wps:cNvPr id="85" name="Line 13"/>
                          <wps:cNvSpPr>
                            <a:spLocks noChangeShapeType="1"/>
                          </wps:cNvSpPr>
                          <wps:spPr bwMode="auto">
                            <a:xfrm>
                              <a:off x="1182821" y="2731730"/>
                              <a:ext cx="0" cy="192"/>
                            </a:xfrm>
                            <a:prstGeom prst="line">
                              <a:avLst/>
                            </a:prstGeom>
                            <a:noFill/>
                            <a:ln w="28575">
                              <a:solidFill>
                                <a:srgbClr val="FF6600"/>
                              </a:solidFill>
                              <a:round/>
                              <a:headEnd/>
                              <a:tailEnd/>
                            </a:ln>
                          </wps:spPr>
                          <wps:txbx>
                            <w:txbxContent>
                              <w:p w:rsidR="000B247C" w:rsidRDefault="000B247C" w:rsidP="000B247C">
                                <w:pPr>
                                  <w:rPr>
                                    <w:rFonts w:eastAsia="Times New Roman"/>
                                  </w:rPr>
                                </w:pPr>
                              </w:p>
                            </w:txbxContent>
                          </wps:txbx>
                          <wps:bodyPr>
                            <a:spAutoFit/>
                          </wps:bodyPr>
                        </wps:wsp>
                        <wps:wsp>
                          <wps:cNvPr id="86" name="Line 14"/>
                          <wps:cNvSpPr>
                            <a:spLocks noChangeShapeType="1"/>
                          </wps:cNvSpPr>
                          <wps:spPr bwMode="auto">
                            <a:xfrm>
                              <a:off x="1184597" y="2731730"/>
                              <a:ext cx="0" cy="192"/>
                            </a:xfrm>
                            <a:prstGeom prst="line">
                              <a:avLst/>
                            </a:prstGeom>
                            <a:noFill/>
                            <a:ln w="28575">
                              <a:solidFill>
                                <a:srgbClr val="FF6600"/>
                              </a:solidFill>
                              <a:round/>
                              <a:headEnd/>
                              <a:tailEnd/>
                            </a:ln>
                          </wps:spPr>
                          <wps:txbx>
                            <w:txbxContent>
                              <w:p w:rsidR="000B247C" w:rsidRDefault="000B247C" w:rsidP="000B247C">
                                <w:pPr>
                                  <w:rPr>
                                    <w:rFonts w:eastAsia="Times New Roman"/>
                                  </w:rPr>
                                </w:pPr>
                              </w:p>
                            </w:txbxContent>
                          </wps:txbx>
                          <wps:bodyPr>
                            <a:spAutoFit/>
                          </wps:bodyPr>
                        </wps:wsp>
                        <wps:wsp>
                          <wps:cNvPr id="87" name="Line 15"/>
                          <wps:cNvSpPr>
                            <a:spLocks noChangeShapeType="1"/>
                          </wps:cNvSpPr>
                          <wps:spPr bwMode="auto">
                            <a:xfrm>
                              <a:off x="1182821" y="2731913"/>
                              <a:ext cx="1776" cy="0"/>
                            </a:xfrm>
                            <a:prstGeom prst="line">
                              <a:avLst/>
                            </a:prstGeom>
                            <a:noFill/>
                            <a:ln w="28575">
                              <a:solidFill>
                                <a:srgbClr val="FF6600"/>
                              </a:solidFill>
                              <a:round/>
                              <a:headEnd/>
                              <a:tailEnd/>
                            </a:ln>
                          </wps:spPr>
                          <wps:txbx>
                            <w:txbxContent>
                              <w:p w:rsidR="000B247C" w:rsidRDefault="000B247C" w:rsidP="000B247C">
                                <w:pPr>
                                  <w:rPr>
                                    <w:rFonts w:eastAsia="Times New Roman"/>
                                  </w:rPr>
                                </w:pPr>
                              </w:p>
                            </w:txbxContent>
                          </wps:txbx>
                          <wps:bodyPr>
                            <a:spAutoFit/>
                          </wps:bodyPr>
                        </wps:wsp>
                      </wpg:grpSp>
                      <wps:wsp>
                        <wps:cNvPr id="46" name="Line 16"/>
                        <wps:cNvSpPr>
                          <a:spLocks noChangeShapeType="1"/>
                        </wps:cNvSpPr>
                        <wps:spPr bwMode="auto">
                          <a:xfrm>
                            <a:off x="2287419" y="3114098"/>
                            <a:ext cx="0" cy="406400"/>
                          </a:xfrm>
                          <a:prstGeom prst="line">
                            <a:avLst/>
                          </a:prstGeom>
                          <a:noFill/>
                          <a:ln w="28575">
                            <a:solidFill>
                              <a:srgbClr val="FF6600"/>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47" name="Text Box 17"/>
                        <wps:cNvSpPr txBox="1">
                          <a:spLocks noChangeArrowheads="1"/>
                        </wps:cNvSpPr>
                        <wps:spPr bwMode="auto">
                          <a:xfrm>
                            <a:off x="1125250" y="3539547"/>
                            <a:ext cx="2338525" cy="769441"/>
                          </a:xfrm>
                          <a:prstGeom prst="rect">
                            <a:avLst/>
                          </a:prstGeom>
                          <a:noFill/>
                          <a:ln w="28575" algn="ctr">
                            <a:solidFill>
                              <a:srgbClr val="FF66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Availability of Pellets</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and Mice Over Time</w:t>
                              </w:r>
                            </w:p>
                          </w:txbxContent>
                        </wps:txbx>
                        <wps:bodyPr wrap="none">
                          <a:spAutoFit/>
                        </wps:bodyPr>
                      </wps:wsp>
                      <wps:wsp>
                        <wps:cNvPr id="48" name="Text Box 19"/>
                        <wps:cNvSpPr txBox="1">
                          <a:spLocks noChangeArrowheads="1"/>
                        </wps:cNvSpPr>
                        <wps:spPr bwMode="auto">
                          <a:xfrm>
                            <a:off x="2619632" y="763512"/>
                            <a:ext cx="1579727" cy="769441"/>
                          </a:xfrm>
                          <a:prstGeom prst="rect">
                            <a:avLst/>
                          </a:prstGeom>
                          <a:noFill/>
                          <a:ln w="28575" algn="ctr">
                            <a:solidFill>
                              <a:srgbClr val="0080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Climate,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Consumption</w:t>
                              </w:r>
                            </w:p>
                          </w:txbxContent>
                        </wps:txbx>
                        <wps:bodyPr wrap="none">
                          <a:spAutoFit/>
                        </wps:bodyPr>
                      </wps:wsp>
                      <wps:wsp>
                        <wps:cNvPr id="51" name="Text Box 20"/>
                        <wps:cNvSpPr txBox="1">
                          <a:spLocks noChangeArrowheads="1"/>
                        </wps:cNvSpPr>
                        <wps:spPr bwMode="auto">
                          <a:xfrm>
                            <a:off x="2538214" y="1952095"/>
                            <a:ext cx="1726883" cy="769441"/>
                          </a:xfrm>
                          <a:prstGeom prst="rect">
                            <a:avLst/>
                          </a:prstGeom>
                          <a:noFill/>
                          <a:ln w="28575" algn="ctr">
                            <a:solidFill>
                              <a:srgbClr val="0080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Pellet Removal</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Rates</w:t>
                              </w:r>
                            </w:p>
                          </w:txbxContent>
                        </wps:txbx>
                        <wps:bodyPr wrap="none">
                          <a:spAutoFit/>
                        </wps:bodyPr>
                      </wps:wsp>
                      <wps:wsp>
                        <wps:cNvPr id="52" name="Line 21"/>
                        <wps:cNvSpPr>
                          <a:spLocks noChangeShapeType="1"/>
                        </wps:cNvSpPr>
                        <wps:spPr bwMode="auto">
                          <a:xfrm>
                            <a:off x="3407605" y="1535730"/>
                            <a:ext cx="0" cy="406400"/>
                          </a:xfrm>
                          <a:prstGeom prst="line">
                            <a:avLst/>
                          </a:prstGeom>
                          <a:noFill/>
                          <a:ln w="28575">
                            <a:solidFill>
                              <a:srgbClr val="008000"/>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55" name="Text Box 23"/>
                        <wps:cNvSpPr txBox="1">
                          <a:spLocks noChangeArrowheads="1"/>
                        </wps:cNvSpPr>
                        <wps:spPr bwMode="auto">
                          <a:xfrm>
                            <a:off x="454622" y="763512"/>
                            <a:ext cx="1568058" cy="769441"/>
                          </a:xfrm>
                          <a:prstGeom prst="rect">
                            <a:avLst/>
                          </a:prstGeom>
                          <a:noFill/>
                          <a:ln w="28575" algn="ctr">
                            <a:solidFill>
                              <a:schemeClr val="accent2"/>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Pesticide Use</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Scenario</w:t>
                              </w:r>
                            </w:p>
                          </w:txbxContent>
                        </wps:txbx>
                        <wps:bodyPr wrap="none">
                          <a:spAutoFit/>
                        </wps:bodyPr>
                      </wps:wsp>
                      <wps:wsp>
                        <wps:cNvPr id="56" name="Line 24"/>
                        <wps:cNvSpPr>
                          <a:spLocks noChangeShapeType="1"/>
                        </wps:cNvSpPr>
                        <wps:spPr bwMode="auto">
                          <a:xfrm>
                            <a:off x="1237235" y="1533242"/>
                            <a:ext cx="0" cy="406400"/>
                          </a:xfrm>
                          <a:prstGeom prst="line">
                            <a:avLst/>
                          </a:prstGeom>
                          <a:noFill/>
                          <a:ln w="28575">
                            <a:solidFill>
                              <a:schemeClr val="accent2"/>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57" name="Text Box 25"/>
                        <wps:cNvSpPr txBox="1">
                          <a:spLocks noChangeArrowheads="1"/>
                        </wps:cNvSpPr>
                        <wps:spPr bwMode="auto">
                          <a:xfrm>
                            <a:off x="260648" y="1952095"/>
                            <a:ext cx="1965090" cy="769441"/>
                          </a:xfrm>
                          <a:prstGeom prst="rect">
                            <a:avLst/>
                          </a:prstGeom>
                          <a:noFill/>
                          <a:ln w="28575" algn="ctr">
                            <a:solidFill>
                              <a:schemeClr val="accent2"/>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Initial Availability</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of Pellets</w:t>
                              </w:r>
                            </w:p>
                          </w:txbxContent>
                        </wps:txbx>
                        <wps:bodyPr wrap="none">
                          <a:spAutoFit/>
                        </wps:bodyPr>
                      </wps:wsp>
                      <wps:wsp>
                        <wps:cNvPr id="58" name="Text Box 33"/>
                        <wps:cNvSpPr txBox="1">
                          <a:spLocks noChangeArrowheads="1"/>
                        </wps:cNvSpPr>
                        <wps:spPr bwMode="auto">
                          <a:xfrm>
                            <a:off x="4772231" y="763512"/>
                            <a:ext cx="1711046" cy="769441"/>
                          </a:xfrm>
                          <a:prstGeom prst="rect">
                            <a:avLst/>
                          </a:prstGeom>
                          <a:noFill/>
                          <a:ln w="28575" algn="ctr">
                            <a:solidFill>
                              <a:srgbClr val="FF00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Western Gull</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Characteristics</w:t>
                              </w:r>
                            </w:p>
                          </w:txbxContent>
                        </wps:txbx>
                        <wps:bodyPr wrap="none">
                          <a:spAutoFit/>
                        </wps:bodyPr>
                      </wps:wsp>
                      <wps:wsp>
                        <wps:cNvPr id="59" name="Text Box 34"/>
                        <wps:cNvSpPr txBox="1">
                          <a:spLocks noChangeArrowheads="1"/>
                        </wps:cNvSpPr>
                        <wps:spPr bwMode="auto">
                          <a:xfrm>
                            <a:off x="4464679" y="3145195"/>
                            <a:ext cx="2291012" cy="1138773"/>
                          </a:xfrm>
                          <a:prstGeom prst="rect">
                            <a:avLst/>
                          </a:prstGeom>
                          <a:noFill/>
                          <a:ln w="28575" algn="ctr">
                            <a:solidFill>
                              <a:srgbClr val="FF00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Ingestion Rates and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Rate of Metabolism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and Elimination</w:t>
                              </w:r>
                            </w:p>
                          </w:txbxContent>
                        </wps:txbx>
                        <wps:bodyPr wrap="none">
                          <a:spAutoFit/>
                        </wps:bodyPr>
                      </wps:wsp>
                      <wps:wsp>
                        <wps:cNvPr id="60" name="Line 35"/>
                        <wps:cNvSpPr>
                          <a:spLocks noChangeShapeType="1"/>
                        </wps:cNvSpPr>
                        <wps:spPr bwMode="auto">
                          <a:xfrm>
                            <a:off x="5608036" y="1535730"/>
                            <a:ext cx="0" cy="406400"/>
                          </a:xfrm>
                          <a:prstGeom prst="line">
                            <a:avLst/>
                          </a:prstGeom>
                          <a:noFill/>
                          <a:ln w="28575">
                            <a:solidFill>
                              <a:srgbClr val="FF0000"/>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61" name="Text Box 36"/>
                        <wps:cNvSpPr txBox="1">
                          <a:spLocks noChangeArrowheads="1"/>
                        </wps:cNvSpPr>
                        <wps:spPr bwMode="auto">
                          <a:xfrm>
                            <a:off x="4586183" y="1952095"/>
                            <a:ext cx="2055178" cy="769441"/>
                          </a:xfrm>
                          <a:prstGeom prst="rect">
                            <a:avLst/>
                          </a:prstGeom>
                          <a:noFill/>
                          <a:ln w="28575" algn="ctr">
                            <a:solidFill>
                              <a:srgbClr val="FF00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Diet and</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Foraging Behavior</w:t>
                              </w:r>
                            </w:p>
                          </w:txbxContent>
                        </wps:txbx>
                        <wps:bodyPr wrap="none">
                          <a:spAutoFit/>
                        </wps:bodyPr>
                      </wps:wsp>
                      <wps:wsp>
                        <wps:cNvPr id="62" name="Line 5"/>
                        <wps:cNvSpPr>
                          <a:spLocks noChangeShapeType="1"/>
                        </wps:cNvSpPr>
                        <wps:spPr bwMode="auto">
                          <a:xfrm>
                            <a:off x="2292745" y="4315906"/>
                            <a:ext cx="0" cy="406400"/>
                          </a:xfrm>
                          <a:prstGeom prst="line">
                            <a:avLst/>
                          </a:prstGeom>
                          <a:noFill/>
                          <a:ln w="28575">
                            <a:solidFill>
                              <a:srgbClr val="FF00FF"/>
                            </a:solidFill>
                            <a:round/>
                            <a:headEnd/>
                            <a:tailEnd/>
                          </a:ln>
                        </wps:spPr>
                        <wps:txbx>
                          <w:txbxContent>
                            <w:p w:rsidR="000B247C" w:rsidRDefault="000B247C" w:rsidP="000B247C">
                              <w:pPr>
                                <w:rPr>
                                  <w:rFonts w:eastAsia="Times New Roman"/>
                                </w:rPr>
                              </w:pPr>
                            </w:p>
                          </w:txbxContent>
                        </wps:txbx>
                        <wps:bodyPr>
                          <a:spAutoFit/>
                        </wps:bodyPr>
                      </wps:wsp>
                      <wps:wsp>
                        <wps:cNvPr id="63" name="Line 8"/>
                        <wps:cNvSpPr>
                          <a:spLocks noChangeShapeType="1"/>
                        </wps:cNvSpPr>
                        <wps:spPr bwMode="auto">
                          <a:xfrm>
                            <a:off x="5347516" y="4698274"/>
                            <a:ext cx="0" cy="406400"/>
                          </a:xfrm>
                          <a:prstGeom prst="line">
                            <a:avLst/>
                          </a:prstGeom>
                          <a:noFill/>
                          <a:ln w="28575">
                            <a:solidFill>
                              <a:srgbClr val="FF00FF"/>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64" name="Text Box 9"/>
                        <wps:cNvSpPr txBox="1">
                          <a:spLocks noChangeArrowheads="1"/>
                        </wps:cNvSpPr>
                        <wps:spPr bwMode="auto">
                          <a:xfrm>
                            <a:off x="4106876" y="5119598"/>
                            <a:ext cx="2476191" cy="400110"/>
                          </a:xfrm>
                          <a:prstGeom prst="rect">
                            <a:avLst/>
                          </a:prstGeom>
                          <a:noFill/>
                          <a:ln w="28575" algn="ctr">
                            <a:solidFill>
                              <a:srgbClr val="FF00FF"/>
                            </a:solidFill>
                            <a:miter lim="800000"/>
                            <a:headEnd/>
                            <a:tailEnd/>
                          </a:ln>
                        </wps:spPr>
                        <wps:txbx>
                          <w:txbxContent>
                            <w:p w:rsidR="000B247C" w:rsidRDefault="000B247C" w:rsidP="000B247C">
                              <w:pPr>
                                <w:pStyle w:val="NormalWeb"/>
                                <w:kinsoku w:val="0"/>
                                <w:overflowPunct w:val="0"/>
                                <w:spacing w:before="96" w:beforeAutospacing="0" w:after="0" w:afterAutospacing="0"/>
                              </w:pPr>
                              <w:r>
                                <w:rPr>
                                  <w:rFonts w:asciiTheme="minorHAnsi" w:hAnsi="Calibri" w:cstheme="minorBidi"/>
                                  <w:color w:val="000000" w:themeColor="text1"/>
                                  <w:kern w:val="24"/>
                                  <w:sz w:val="40"/>
                                  <w:szCs w:val="40"/>
                                </w:rPr>
                                <w:t>Level of Gull Exposure</w:t>
                              </w:r>
                            </w:p>
                          </w:txbxContent>
                        </wps:txbx>
                        <wps:bodyPr wrap="none">
                          <a:spAutoFit/>
                        </wps:bodyPr>
                      </wps:wsp>
                      <wps:wsp>
                        <wps:cNvPr id="65" name="Straight Connector 65"/>
                        <wps:cNvCnPr/>
                        <wps:spPr>
                          <a:xfrm>
                            <a:off x="2306813" y="4705750"/>
                            <a:ext cx="3312368" cy="0"/>
                          </a:xfrm>
                          <a:prstGeom prst="line">
                            <a:avLst/>
                          </a:prstGeom>
                          <a:ln w="28575">
                            <a:solidFill>
                              <a:srgbClr val="FF00FF"/>
                            </a:solidFill>
                          </a:ln>
                        </wps:spPr>
                        <wps:style>
                          <a:lnRef idx="1">
                            <a:schemeClr val="accent1"/>
                          </a:lnRef>
                          <a:fillRef idx="0">
                            <a:schemeClr val="accent1"/>
                          </a:fillRef>
                          <a:effectRef idx="0">
                            <a:schemeClr val="accent1"/>
                          </a:effectRef>
                          <a:fontRef idx="minor">
                            <a:schemeClr val="tx1"/>
                          </a:fontRef>
                        </wps:style>
                        <wps:bodyPr/>
                      </wps:wsp>
                      <wps:wsp>
                        <wps:cNvPr id="66" name="Text Box 3"/>
                        <wps:cNvSpPr txBox="1">
                          <a:spLocks noChangeArrowheads="1"/>
                        </wps:cNvSpPr>
                        <wps:spPr bwMode="auto">
                          <a:xfrm>
                            <a:off x="2360769" y="7218969"/>
                            <a:ext cx="693523" cy="400110"/>
                          </a:xfrm>
                          <a:prstGeom prst="rect">
                            <a:avLst/>
                          </a:prstGeom>
                          <a:noFill/>
                          <a:ln w="28575" algn="ctr">
                            <a:solidFill>
                              <a:srgbClr val="00FFFF"/>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Alive</w:t>
                              </w:r>
                            </w:p>
                          </w:txbxContent>
                        </wps:txbx>
                        <wps:bodyPr wrap="none">
                          <a:spAutoFit/>
                        </wps:bodyPr>
                      </wps:wsp>
                      <wps:wsp>
                        <wps:cNvPr id="67" name="Text Box 4"/>
                        <wps:cNvSpPr txBox="1">
                          <a:spLocks noChangeArrowheads="1"/>
                        </wps:cNvSpPr>
                        <wps:spPr bwMode="auto">
                          <a:xfrm>
                            <a:off x="3850559" y="7216013"/>
                            <a:ext cx="1084208" cy="400110"/>
                          </a:xfrm>
                          <a:prstGeom prst="rect">
                            <a:avLst/>
                          </a:prstGeom>
                          <a:noFill/>
                          <a:ln w="28575" algn="ctr">
                            <a:solidFill>
                              <a:srgbClr val="00FFFF"/>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Lethality</w:t>
                              </w:r>
                            </w:p>
                          </w:txbxContent>
                        </wps:txbx>
                        <wps:bodyPr wrap="none">
                          <a:spAutoFit/>
                        </wps:bodyPr>
                      </wps:wsp>
                      <wps:wsp>
                        <wps:cNvPr id="68" name="Line 5"/>
                        <wps:cNvSpPr>
                          <a:spLocks noChangeShapeType="1"/>
                        </wps:cNvSpPr>
                        <wps:spPr bwMode="auto">
                          <a:xfrm>
                            <a:off x="3818780" y="6592126"/>
                            <a:ext cx="609600" cy="609600"/>
                          </a:xfrm>
                          <a:prstGeom prst="line">
                            <a:avLst/>
                          </a:prstGeom>
                          <a:noFill/>
                          <a:ln w="28575">
                            <a:solidFill>
                              <a:srgbClr val="00FFFF"/>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69" name="Line 6"/>
                        <wps:cNvSpPr>
                          <a:spLocks noChangeShapeType="1"/>
                        </wps:cNvSpPr>
                        <wps:spPr bwMode="auto">
                          <a:xfrm flipH="1">
                            <a:off x="2704355" y="6591906"/>
                            <a:ext cx="609600" cy="609600"/>
                          </a:xfrm>
                          <a:prstGeom prst="line">
                            <a:avLst/>
                          </a:prstGeom>
                          <a:noFill/>
                          <a:ln w="28575">
                            <a:solidFill>
                              <a:srgbClr val="00FFFF"/>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70" name="Text Box 7"/>
                        <wps:cNvSpPr txBox="1">
                          <a:spLocks noChangeArrowheads="1"/>
                        </wps:cNvSpPr>
                        <wps:spPr bwMode="auto">
                          <a:xfrm>
                            <a:off x="4183686" y="6749069"/>
                            <a:ext cx="533400" cy="336550"/>
                          </a:xfrm>
                          <a:prstGeom prst="rect">
                            <a:avLst/>
                          </a:prstGeom>
                          <a:noFill/>
                          <a:ln w="9525" algn="ctr">
                            <a:noFill/>
                            <a:miter lim="800000"/>
                            <a:headEnd/>
                            <a:tailEnd/>
                          </a:ln>
                        </wps:spPr>
                        <wps:txbx>
                          <w:txbxContent>
                            <w:p w:rsidR="000B247C" w:rsidRDefault="000B247C" w:rsidP="000B247C">
                              <w:pPr>
                                <w:pStyle w:val="NormalWeb"/>
                                <w:kinsoku w:val="0"/>
                                <w:overflowPunct w:val="0"/>
                                <w:spacing w:before="77" w:beforeAutospacing="0" w:after="0" w:afterAutospacing="0"/>
                              </w:pPr>
                              <w:r>
                                <w:rPr>
                                  <w:rFonts w:asciiTheme="minorHAnsi" w:hAnsi="Calibri" w:cstheme="minorBidi"/>
                                  <w:i/>
                                  <w:iCs/>
                                  <w:color w:val="000000" w:themeColor="text1"/>
                                  <w:kern w:val="24"/>
                                  <w:sz w:val="32"/>
                                  <w:szCs w:val="32"/>
                                </w:rPr>
                                <w:t>Yes</w:t>
                              </w:r>
                            </w:p>
                          </w:txbxContent>
                        </wps:txbx>
                        <wps:bodyPr wrap="none">
                          <a:spAutoFit/>
                        </wps:bodyPr>
                      </wps:wsp>
                      <wps:wsp>
                        <wps:cNvPr id="71" name="Text Box 8"/>
                        <wps:cNvSpPr txBox="1">
                          <a:spLocks noChangeArrowheads="1"/>
                        </wps:cNvSpPr>
                        <wps:spPr bwMode="auto">
                          <a:xfrm>
                            <a:off x="2509093" y="6730019"/>
                            <a:ext cx="442912" cy="336550"/>
                          </a:xfrm>
                          <a:prstGeom prst="rect">
                            <a:avLst/>
                          </a:prstGeom>
                          <a:noFill/>
                          <a:ln w="9525" algn="ctr">
                            <a:noFill/>
                            <a:miter lim="800000"/>
                            <a:headEnd/>
                            <a:tailEnd/>
                          </a:ln>
                        </wps:spPr>
                        <wps:txbx>
                          <w:txbxContent>
                            <w:p w:rsidR="000B247C" w:rsidRDefault="000B247C" w:rsidP="000B247C">
                              <w:pPr>
                                <w:pStyle w:val="NormalWeb"/>
                                <w:kinsoku w:val="0"/>
                                <w:overflowPunct w:val="0"/>
                                <w:spacing w:before="77" w:beforeAutospacing="0" w:after="0" w:afterAutospacing="0"/>
                              </w:pPr>
                              <w:r>
                                <w:rPr>
                                  <w:rFonts w:asciiTheme="minorHAnsi" w:hAnsi="Calibri" w:cstheme="minorBidi"/>
                                  <w:i/>
                                  <w:iCs/>
                                  <w:color w:val="000000" w:themeColor="text1"/>
                                  <w:kern w:val="24"/>
                                  <w:sz w:val="32"/>
                                  <w:szCs w:val="32"/>
                                </w:rPr>
                                <w:t>No</w:t>
                              </w:r>
                            </w:p>
                          </w:txbxContent>
                        </wps:txbx>
                        <wps:bodyPr wrap="none">
                          <a:spAutoFit/>
                        </wps:bodyPr>
                      </wps:wsp>
                      <wps:wsp>
                        <wps:cNvPr id="72" name="Text Box 10"/>
                        <wps:cNvSpPr txBox="1">
                          <a:spLocks noChangeArrowheads="1"/>
                        </wps:cNvSpPr>
                        <wps:spPr bwMode="auto">
                          <a:xfrm>
                            <a:off x="2429003" y="7758222"/>
                            <a:ext cx="2296141" cy="400110"/>
                          </a:xfrm>
                          <a:prstGeom prst="rect">
                            <a:avLst/>
                          </a:prstGeom>
                          <a:noFill/>
                          <a:ln w="28575" algn="ctr">
                            <a:noFill/>
                            <a:miter lim="800000"/>
                            <a:headEnd/>
                            <a:tailEnd/>
                          </a:ln>
                        </wps:spPr>
                        <wps:txbx>
                          <w:txbxContent>
                            <w:p w:rsidR="000B247C" w:rsidRDefault="000B247C" w:rsidP="000B247C">
                              <w:pPr>
                                <w:pStyle w:val="NormalWeb"/>
                                <w:kinsoku w:val="0"/>
                                <w:overflowPunct w:val="0"/>
                                <w:spacing w:before="96" w:beforeAutospacing="0" w:after="0" w:afterAutospacing="0"/>
                              </w:pPr>
                              <w:r>
                                <w:rPr>
                                  <w:rFonts w:asciiTheme="minorHAnsi" w:hAnsi="Calibri" w:cstheme="minorBidi"/>
                                  <w:color w:val="000000" w:themeColor="text1"/>
                                  <w:kern w:val="24"/>
                                  <w:sz w:val="40"/>
                                  <w:szCs w:val="40"/>
                                </w:rPr>
                                <w:t>Repeat for Next Bird</w:t>
                              </w:r>
                            </w:p>
                          </w:txbxContent>
                        </wps:txbx>
                        <wps:bodyPr wrap="none">
                          <a:spAutoFit/>
                        </wps:bodyPr>
                      </wps:wsp>
                      <wps:wsp>
                        <wps:cNvPr id="74" name="Line 13"/>
                        <wps:cNvSpPr>
                          <a:spLocks noChangeShapeType="1"/>
                        </wps:cNvSpPr>
                        <wps:spPr bwMode="auto">
                          <a:xfrm>
                            <a:off x="2170955" y="8117494"/>
                            <a:ext cx="2819400" cy="0"/>
                          </a:xfrm>
                          <a:prstGeom prst="line">
                            <a:avLst/>
                          </a:prstGeom>
                          <a:noFill/>
                          <a:ln w="9525">
                            <a:solidFill>
                              <a:schemeClr val="tx1"/>
                            </a:solidFill>
                            <a:round/>
                            <a:headEnd/>
                            <a:tailEnd/>
                          </a:ln>
                        </wps:spPr>
                        <wps:txbx>
                          <w:txbxContent>
                            <w:p w:rsidR="000B247C" w:rsidRDefault="000B247C" w:rsidP="000B247C">
                              <w:pPr>
                                <w:rPr>
                                  <w:rFonts w:eastAsia="Times New Roman"/>
                                </w:rPr>
                              </w:pPr>
                            </w:p>
                          </w:txbxContent>
                        </wps:txbx>
                        <wps:bodyPr>
                          <a:spAutoFit/>
                        </wps:bodyPr>
                      </wps:wsp>
                      <wps:wsp>
                        <wps:cNvPr id="75" name="Line 14"/>
                        <wps:cNvSpPr>
                          <a:spLocks noChangeShapeType="1"/>
                        </wps:cNvSpPr>
                        <wps:spPr bwMode="auto">
                          <a:xfrm>
                            <a:off x="2170955" y="7874606"/>
                            <a:ext cx="0" cy="228600"/>
                          </a:xfrm>
                          <a:prstGeom prst="line">
                            <a:avLst/>
                          </a:prstGeom>
                          <a:noFill/>
                          <a:ln w="9525">
                            <a:solidFill>
                              <a:schemeClr val="tx1"/>
                            </a:solidFill>
                            <a:round/>
                            <a:headEnd/>
                            <a:tailEnd/>
                          </a:ln>
                        </wps:spPr>
                        <wps:txbx>
                          <w:txbxContent>
                            <w:p w:rsidR="000B247C" w:rsidRDefault="000B247C" w:rsidP="000B247C">
                              <w:pPr>
                                <w:rPr>
                                  <w:rFonts w:eastAsia="Times New Roman"/>
                                </w:rPr>
                              </w:pPr>
                            </w:p>
                          </w:txbxContent>
                        </wps:txbx>
                        <wps:bodyPr>
                          <a:spAutoFit/>
                        </wps:bodyPr>
                      </wps:wsp>
                      <wps:wsp>
                        <wps:cNvPr id="76" name="Line 15"/>
                        <wps:cNvSpPr>
                          <a:spLocks noChangeShapeType="1"/>
                        </wps:cNvSpPr>
                        <wps:spPr bwMode="auto">
                          <a:xfrm>
                            <a:off x="4998549" y="7874606"/>
                            <a:ext cx="0" cy="228600"/>
                          </a:xfrm>
                          <a:prstGeom prst="line">
                            <a:avLst/>
                          </a:prstGeom>
                          <a:noFill/>
                          <a:ln w="9525">
                            <a:solidFill>
                              <a:schemeClr val="tx1"/>
                            </a:solidFill>
                            <a:round/>
                            <a:headEnd/>
                            <a:tailEnd/>
                          </a:ln>
                        </wps:spPr>
                        <wps:txbx>
                          <w:txbxContent>
                            <w:p w:rsidR="000B247C" w:rsidRDefault="000B247C" w:rsidP="000B247C">
                              <w:pPr>
                                <w:rPr>
                                  <w:rFonts w:eastAsia="Times New Roman"/>
                                </w:rPr>
                              </w:pPr>
                            </w:p>
                          </w:txbxContent>
                        </wps:txbx>
                        <wps:bodyPr>
                          <a:spAutoFit/>
                        </wps:bodyPr>
                      </wps:wsp>
                      <wps:wsp>
                        <wps:cNvPr id="77" name="Text Box 18"/>
                        <wps:cNvSpPr txBox="1">
                          <a:spLocks noChangeArrowheads="1"/>
                        </wps:cNvSpPr>
                        <wps:spPr bwMode="auto">
                          <a:xfrm>
                            <a:off x="520681" y="4964499"/>
                            <a:ext cx="2520947" cy="769441"/>
                          </a:xfrm>
                          <a:prstGeom prst="rect">
                            <a:avLst/>
                          </a:prstGeom>
                          <a:noFill/>
                          <a:ln w="28575" algn="ctr">
                            <a:solidFill>
                              <a:schemeClr val="bg1">
                                <a:lumMod val="50000"/>
                              </a:schemeClr>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Randomly Select From</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Dose-Response Curve</w:t>
                              </w:r>
                            </w:p>
                          </w:txbxContent>
                        </wps:txbx>
                        <wps:bodyPr wrap="none">
                          <a:spAutoFit/>
                        </wps:bodyPr>
                      </wps:wsp>
                      <wps:wsp>
                        <wps:cNvPr id="78" name="Text Box 32"/>
                        <wps:cNvSpPr txBox="1">
                          <a:spLocks noChangeArrowheads="1"/>
                        </wps:cNvSpPr>
                        <wps:spPr bwMode="auto">
                          <a:xfrm>
                            <a:off x="2464897" y="6182111"/>
                            <a:ext cx="2192139" cy="400110"/>
                          </a:xfrm>
                          <a:prstGeom prst="rect">
                            <a:avLst/>
                          </a:prstGeom>
                          <a:noFill/>
                          <a:ln w="28575" algn="ctr">
                            <a:solidFill>
                              <a:srgbClr val="FF9900"/>
                            </a:solidFill>
                            <a:miter lim="800000"/>
                            <a:headEnd/>
                            <a:tailEnd/>
                          </a:ln>
                        </wps:spPr>
                        <wps:txbx>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Exposure &gt; Effects?</w:t>
                              </w:r>
                            </w:p>
                          </w:txbxContent>
                        </wps:txbx>
                        <wps:bodyPr wrap="none">
                          <a:spAutoFit/>
                        </wps:bodyPr>
                      </wps:wsp>
                      <wpg:grpSp>
                        <wpg:cNvPr id="79" name="Group 79"/>
                        <wpg:cNvGrpSpPr/>
                        <wpg:grpSpPr>
                          <a:xfrm>
                            <a:off x="1763972" y="5753706"/>
                            <a:ext cx="685800" cy="623668"/>
                            <a:chOff x="1763972" y="5753706"/>
                            <a:chExt cx="685800" cy="623668"/>
                          </a:xfrm>
                        </wpg:grpSpPr>
                        <wps:wsp>
                          <wps:cNvPr id="83" name="Line 33"/>
                          <wps:cNvSpPr>
                            <a:spLocks noChangeShapeType="1"/>
                          </wps:cNvSpPr>
                          <wps:spPr bwMode="auto">
                            <a:xfrm>
                              <a:off x="1763972" y="6377374"/>
                              <a:ext cx="685800" cy="0"/>
                            </a:xfrm>
                            <a:prstGeom prst="line">
                              <a:avLst/>
                            </a:prstGeom>
                            <a:noFill/>
                            <a:ln w="28575">
                              <a:solidFill>
                                <a:srgbClr val="FF9900"/>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84" name="Line 36"/>
                          <wps:cNvSpPr>
                            <a:spLocks noChangeShapeType="1"/>
                          </wps:cNvSpPr>
                          <wps:spPr bwMode="auto">
                            <a:xfrm flipV="1">
                              <a:off x="1778260" y="5753706"/>
                              <a:ext cx="0" cy="609600"/>
                            </a:xfrm>
                            <a:prstGeom prst="line">
                              <a:avLst/>
                            </a:prstGeom>
                            <a:noFill/>
                            <a:ln w="28575">
                              <a:solidFill>
                                <a:srgbClr val="FF9900"/>
                              </a:solidFill>
                              <a:round/>
                              <a:headEnd/>
                              <a:tailEnd/>
                            </a:ln>
                          </wps:spPr>
                          <wps:txbx>
                            <w:txbxContent>
                              <w:p w:rsidR="000B247C" w:rsidRDefault="000B247C" w:rsidP="000B247C">
                                <w:pPr>
                                  <w:rPr>
                                    <w:rFonts w:eastAsia="Times New Roman"/>
                                  </w:rPr>
                                </w:pPr>
                              </w:p>
                            </w:txbxContent>
                          </wps:txbx>
                          <wps:bodyPr/>
                        </wps:wsp>
                      </wpg:grpSp>
                      <wpg:grpSp>
                        <wpg:cNvPr id="80" name="Group 80"/>
                        <wpg:cNvGrpSpPr/>
                        <wpg:grpSpPr>
                          <a:xfrm flipH="1">
                            <a:off x="4675153" y="3621101"/>
                            <a:ext cx="685800" cy="623668"/>
                            <a:chOff x="4675153" y="5540042"/>
                            <a:chExt cx="685800" cy="623668"/>
                          </a:xfrm>
                        </wpg:grpSpPr>
                        <wps:wsp>
                          <wps:cNvPr id="81" name="Line 33"/>
                          <wps:cNvSpPr>
                            <a:spLocks noChangeShapeType="1"/>
                          </wps:cNvSpPr>
                          <wps:spPr bwMode="auto">
                            <a:xfrm>
                              <a:off x="4675153" y="6163710"/>
                              <a:ext cx="685800" cy="0"/>
                            </a:xfrm>
                            <a:prstGeom prst="line">
                              <a:avLst/>
                            </a:prstGeom>
                            <a:noFill/>
                            <a:ln w="28575">
                              <a:solidFill>
                                <a:srgbClr val="FF9900"/>
                              </a:solidFill>
                              <a:round/>
                              <a:headEnd/>
                              <a:tailEnd type="triangle" w="med" len="med"/>
                            </a:ln>
                          </wps:spPr>
                          <wps:txbx>
                            <w:txbxContent>
                              <w:p w:rsidR="000B247C" w:rsidRDefault="000B247C" w:rsidP="000B247C">
                                <w:pPr>
                                  <w:rPr>
                                    <w:rFonts w:eastAsia="Times New Roman"/>
                                  </w:rPr>
                                </w:pPr>
                              </w:p>
                            </w:txbxContent>
                          </wps:txbx>
                          <wps:bodyPr>
                            <a:spAutoFit/>
                          </wps:bodyPr>
                        </wps:wsp>
                        <wps:wsp>
                          <wps:cNvPr id="82" name="Line 36"/>
                          <wps:cNvSpPr>
                            <a:spLocks noChangeShapeType="1"/>
                          </wps:cNvSpPr>
                          <wps:spPr bwMode="auto">
                            <a:xfrm flipV="1">
                              <a:off x="4689441" y="5540042"/>
                              <a:ext cx="0" cy="609600"/>
                            </a:xfrm>
                            <a:prstGeom prst="line">
                              <a:avLst/>
                            </a:prstGeom>
                            <a:noFill/>
                            <a:ln w="28575">
                              <a:solidFill>
                                <a:srgbClr val="FF9900"/>
                              </a:solidFill>
                              <a:round/>
                              <a:headEnd/>
                              <a:tailEnd/>
                            </a:ln>
                          </wps:spPr>
                          <wps:txbx>
                            <w:txbxContent>
                              <w:p w:rsidR="000B247C" w:rsidRDefault="000B247C" w:rsidP="000B247C">
                                <w:pPr>
                                  <w:rPr>
                                    <w:rFonts w:eastAsia="Times New Roman"/>
                                  </w:rPr>
                                </w:pPr>
                              </w:p>
                            </w:txbxContent>
                          </wps:txbx>
                          <wps:bodyPr/>
                        </wps:wsp>
                      </wpg:grpSp>
                    </wpg:wgp>
                  </a:graphicData>
                </a:graphic>
              </wp:inline>
            </w:drawing>
          </mc:Choice>
          <mc:Fallback>
            <w:pict>
              <v:group id="Group 72" o:spid="_x0000_s1026" style="width:468pt;height:532.85pt;mso-position-horizontal-relative:char;mso-position-vertical-relative:line" coordorigin="-14772968,7635" coordsize="14840525,73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">
                <v:group id="Group 45" o:spid="_x0000_s1027" style="position:absolute;left:-14772968;top:27317;width:18;height:4064" coordorigin="11828,27317" coordsize="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13" o:spid="_x0000_s1028" style="position:absolute;visibility:visible;mso-wrap-style:square;v-text-anchor:top" from="11828,27317" to="11828,27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AnsQA&#10;AADbAAAADwAAAGRycy9kb3ducmV2LnhtbESPQWvCQBSE70L/w/IEL6IbWxpCdJUqFexRW0Fvj+wz&#10;CWbfLtlVY399Vyh4HGbmG2a26EwjrtT62rKCyTgBQVxYXXOp4Od7PcpA+ICssbFMCu7kYTF/6c0w&#10;1/bGW7ruQikihH2OCqoQXC6lLyoy6MfWEUfvZFuDIcq2lLrFW4SbRr4mSSoN1hwXKnS0qqg47y5G&#10;wds9TbPj59dm737LiTPNcOkPF6UG/e5jCiJQF57h//ZGK8je4fE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mgJ7EAAAA2wAAAA8AAAAAAAAAAAAAAAAAmAIAAGRycy9k&#10;b3ducmV2LnhtbFBLBQYAAAAABAAEAPUAAACJAwAAAAA=&#10;" strokecolor="#f60" strokeweight="2.25pt">
                    <v:textbox style="mso-fit-shape-to-text:t">
                      <w:txbxContent>
                        <w:p w:rsidR="000B247C" w:rsidRDefault="000B247C" w:rsidP="000B247C">
                          <w:pPr>
                            <w:rPr>
                              <w:rFonts w:eastAsia="Times New Roman"/>
                            </w:rPr>
                          </w:pPr>
                        </w:p>
                      </w:txbxContent>
                    </v:textbox>
                  </v:line>
                  <v:line id="Line 14" o:spid="_x0000_s1029" style="position:absolute;visibility:visible;mso-wrap-style:square;v-text-anchor:top" from="11845,27317" to="11845,27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e6cQA&#10;AADbAAAADwAAAGRycy9kb3ducmV2LnhtbESPQWvCQBSE7wX/w/IEL0U3sRBC6hpUFPRY20K9PbKv&#10;STD7dsmuGv313UKhx2FmvmEW5WA6caXet5YVpLMEBHFldcu1go/33TQH4QOyxs4yKbiTh3I5elpg&#10;oe2N3+h6DLWIEPYFKmhCcIWUvmrIoJ9ZRxy9b9sbDFH2tdQ93iLcdHKeJJk02HJcaNDRpqHqfLwY&#10;BS/3LMtP28P+0z3q1Jnuee2/LkpNxsPqFUSgIfyH/9p7rSDP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0HunEAAAA2wAAAA8AAAAAAAAAAAAAAAAAmAIAAGRycy9k&#10;b3ducmV2LnhtbFBLBQYAAAAABAAEAPUAAACJAwAAAAA=&#10;" strokecolor="#f60" strokeweight="2.25pt">
                    <v:textbox style="mso-fit-shape-to-text:t">
                      <w:txbxContent>
                        <w:p w:rsidR="000B247C" w:rsidRDefault="000B247C" w:rsidP="000B247C">
                          <w:pPr>
                            <w:rPr>
                              <w:rFonts w:eastAsia="Times New Roman"/>
                            </w:rPr>
                          </w:pPr>
                        </w:p>
                      </w:txbxContent>
                    </v:textbox>
                  </v:line>
                  <v:line id="Line 15" o:spid="_x0000_s1030" style="position:absolute;visibility:visible;mso-wrap-style:square;v-text-anchor:top" from="11828,27319" to="11845,27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i7csUA&#10;AADbAAAADwAAAGRycy9kb3ducmV2LnhtbESPQWvCQBSE7wX/w/KEXopubCENMRtpSwt6rFXQ2yP7&#10;TILZt0t21dhf3xUKHoeZ+YYpFoPpxJl631pWMJsmIIgrq1uuFWx+viYZCB+QNXaWScGVPCzK0UOB&#10;ubYX/qbzOtQiQtjnqKAJweVS+qohg35qHXH0DrY3GKLsa6l7vES46eRzkqTSYMtxoUFHHw1Vx/XJ&#10;KHi5pmm2/1wtt+63njnTPb373Umpx/HwNgcRaAj38H97qRVkr3D7En+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uLtyxQAAANsAAAAPAAAAAAAAAAAAAAAAAJgCAABkcnMv&#10;ZG93bnJldi54bWxQSwUGAAAAAAQABAD1AAAAigMAAAAA&#10;" strokecolor="#f60" strokeweight="2.25pt">
                    <v:textbox style="mso-fit-shape-to-text:t">
                      <w:txbxContent>
                        <w:p w:rsidR="000B247C" w:rsidRDefault="000B247C" w:rsidP="000B247C">
                          <w:pPr>
                            <w:rPr>
                              <w:rFonts w:eastAsia="Times New Roman"/>
                            </w:rPr>
                          </w:pPr>
                        </w:p>
                      </w:txbxContent>
                    </v:textbox>
                  </v:line>
                </v:group>
                <v:line id="Line 16" o:spid="_x0000_s1031" style="position:absolute;visibility:visible;mso-wrap-style:square;v-text-anchor:top" from="22874,31140" to="22874,35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z9sUA&#10;AADbAAAADwAAAGRycy9kb3ducmV2LnhtbESPQWvCQBSE70L/w/IKvUjdKBJsdJUi2obejKXt8Zl9&#10;JqnZtyG7NfHfu0LB4zAz3zCLVW9qcabWVZYVjEcRCOLc6ooLBZ/77fMMhPPIGmvLpOBCDlbLh8EC&#10;E2073tE584UIEHYJKii9bxIpXV6SQTeyDXHwjrY16INsC6lb7ALc1HISRbE0WHFYKLGhdUn5Kfsz&#10;Cg6b9CX+sj8+f3v/PfHwY5wdvmulnh771zkIT72/h//bqVYwjeH2Jfw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uXP2xQAAANsAAAAPAAAAAAAAAAAAAAAAAJgCAABkcnMv&#10;ZG93bnJldi54bWxQSwUGAAAAAAQABAD1AAAAigMAAAAA&#10;" strokecolor="#f60" strokeweight="2.25pt">
                  <v:stroke endarrow="block"/>
                  <v:textbox style="mso-fit-shape-to-text:t">
                    <w:txbxContent>
                      <w:p w:rsidR="000B247C" w:rsidRDefault="000B247C" w:rsidP="000B247C">
                        <w:pPr>
                          <w:rPr>
                            <w:rFonts w:eastAsia="Times New Roman"/>
                          </w:rPr>
                        </w:pPr>
                      </w:p>
                    </w:txbxContent>
                  </v:textbox>
                </v:line>
                <v:shapetype id="_x0000_t202" coordsize="21600,21600" o:spt="202" path="m,l,21600r21600,l21600,xe">
                  <v:stroke joinstyle="miter"/>
                  <v:path gradientshapeok="t" o:connecttype="rect"/>
                </v:shapetype>
                <v:shape id="Text Box 17" o:spid="_x0000_s1032" type="#_x0000_t202" style="position:absolute;left:11252;top:35395;width:23385;height:7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q9tsUA&#10;AADbAAAADwAAAGRycy9kb3ducmV2LnhtbESP3WoCMRSE7wu+QzhC72pWKVZWoyxKSykI9afQy8Pm&#10;mCxuTrabVFef3hQKXg4z8w0zW3SuFidqQ+VZwXCQgSAuva7YKNjvXp8mIEJE1lh7JgUXCrCY9x5m&#10;mGt/5g2dttGIBOGQowIbY5NLGUpLDsPAN8TJO/jWYUyyNVK3eE5wV8tRlo2lw4rTgsWGlpbK4/bX&#10;Kbh+F3KlC/tlPtzneG3eqp/YLZV67HfFFESkLt7D/+13reD5Bf6+pB8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mr22xQAAANsAAAAPAAAAAAAAAAAAAAAAAJgCAABkcnMv&#10;ZG93bnJldi54bWxQSwUGAAAAAAQABAD1AAAAigMAAAAA&#10;" filled="f" strokecolor="#f60"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Availability of Pellets</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and Mice Over Time</w:t>
                        </w:r>
                      </w:p>
                    </w:txbxContent>
                  </v:textbox>
                </v:shape>
                <v:shape id="Text Box 19" o:spid="_x0000_s1033" type="#_x0000_t202" style="position:absolute;left:26196;top:7635;width:15797;height:7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qg8AA&#10;AADbAAAADwAAAGRycy9kb3ducmV2LnhtbERPTYvCMBC9C/sfwgjeNFUWka5RiqDsYRGs7qG3IRnb&#10;YjPpNllb/705CB4f73u9HWwj7tT52rGC+SwBQaydqblUcDnvpysQPiAbbByTggd52G4+RmtMjev5&#10;RPc8lCKGsE9RQRVCm0rpdUUW/cy1xJG7us5iiLArpemwj+G2kYskWUqLNceGClvaVaRv+b9V0O+O&#10;ic5/Dr+Ha/FnWz2U86zIlJqMh+wLRKAhvMUv97dR8BnHxi/xB8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dqg8AAAADbAAAADwAAAAAAAAAAAAAAAACYAgAAZHJzL2Rvd25y&#10;ZXYueG1sUEsFBgAAAAAEAAQA9QAAAIUDAAAAAA==&#10;" filled="f" strokecolor="green"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Climate,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Consumption</w:t>
                        </w:r>
                      </w:p>
                    </w:txbxContent>
                  </v:textbox>
                </v:shape>
                <v:shape id="Text Box 20" o:spid="_x0000_s1034" type="#_x0000_t202" style="position:absolute;left:25382;top:19520;width:17268;height:76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RVw8QA&#10;AADbAAAADwAAAGRycy9kb3ducmV2LnhtbESPQWvCQBSE7wX/w/KE3uomQqVEVwmC4kEKTfXg7bH7&#10;TILZtzG7mvTfdwXB4zAz3zCL1WAbcafO144VpJMEBLF2puZSweF38/EFwgdkg41jUvBHHlbL0dsC&#10;M+N6/qF7EUoRIewzVFCF0GZSel2RRT9xLXH0zq6zGKLsSmk67CPcNnKaJDNpsea4UGFL64r0pbhZ&#10;Bf36O9HFfnvcnk9X2+qhTPNTrtT7eMjnIAIN4RV+tndGwWcKjy/x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0VcPEAAAA2wAAAA8AAAAAAAAAAAAAAAAAmAIAAGRycy9k&#10;b3ducmV2LnhtbFBLBQYAAAAABAAEAPUAAACJAwAAAAA=&#10;" filled="f" strokecolor="green"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Pellet Removal</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Rates</w:t>
                        </w:r>
                      </w:p>
                    </w:txbxContent>
                  </v:textbox>
                </v:shape>
                <v:line id="Line 21" o:spid="_x0000_s1035" style="position:absolute;visibility:visible;mso-wrap-style:square;v-text-anchor:top" from="34076,15357" to="34076,19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ZgdcMA&#10;AADbAAAADwAAAGRycy9kb3ducmV2LnhtbESPQWsCMRSE7wX/Q3iCt5pVbJHVKCIIHrZCXS/eHpvn&#10;ZnXzsiRR13/fFAo9DjPzDbNc97YVD/KhcaxgMs5AEFdON1wrOJW79zmIEJE1to5JwYsCrFeDtyXm&#10;2j35mx7HWIsE4ZCjAhNjl0sZKkMWw9h1xMm7OG8xJulrqT0+E9y2cppln9Jiw2nBYEdbQ9XteLcK&#10;UJ/9tjjMm+vhFW5fZSxmpSmUGg37zQJEpD7+h//ae63gYwq/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ZgdcMAAADbAAAADwAAAAAAAAAAAAAAAACYAgAAZHJzL2Rv&#10;d25yZXYueG1sUEsFBgAAAAAEAAQA9QAAAIgDAAAAAA==&#10;" strokecolor="green" strokeweight="2.25pt">
                  <v:stroke endarrow="block"/>
                  <v:textbox style="mso-fit-shape-to-text:t">
                    <w:txbxContent>
                      <w:p w:rsidR="000B247C" w:rsidRDefault="000B247C" w:rsidP="000B247C">
                        <w:pPr>
                          <w:rPr>
                            <w:rFonts w:eastAsia="Times New Roman"/>
                          </w:rPr>
                        </w:pPr>
                      </w:p>
                    </w:txbxContent>
                  </v:textbox>
                </v:line>
                <v:shape id="Text Box 23" o:spid="_x0000_s1036" type="#_x0000_t202" style="position:absolute;left:4546;top:7635;width:15680;height:7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7hlsQA&#10;AADbAAAADwAAAGRycy9kb3ducmV2LnhtbESPQWvCQBSE74X+h+UVvNWNokVS1yCBgidpE0V6e2Sf&#10;2WD2bchuk9hf3y0Uehxm5htmm022FQP1vnGsYDFPQBBXTjdcKziVb88bED4ga2wdk4I7ech2jw9b&#10;TLUb+YOGItQiQtinqMCE0KVS+sqQRT93HXH0rq63GKLsa6l7HCPctnKZJC/SYsNxwWBHuaHqVnxZ&#10;Be90LZaH8vid43m6lGfTmdvqU6nZ07R/BRFoCv/hv/ZBK1iv4fdL/AF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e4ZbEAAAA2wAAAA8AAAAAAAAAAAAAAAAAmAIAAGRycy9k&#10;b3ducmV2LnhtbFBLBQYAAAAABAAEAPUAAACJAwAAAAA=&#10;" filled="f" strokecolor="#c0504d [3205]"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Pesticide Use</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Scenario</w:t>
                        </w:r>
                      </w:p>
                    </w:txbxContent>
                  </v:textbox>
                </v:shape>
                <v:line id="Line 24" o:spid="_x0000_s1037" style="position:absolute;visibility:visible;mso-wrap-style:square;v-text-anchor:top" from="12372,15332" to="12372,19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MmhcIA&#10;AADbAAAADwAAAGRycy9kb3ducmV2LnhtbESPT4vCMBTE7wt+h/CEvRRNXfAP1SiiuHjV6v3RPJvS&#10;5qU0Ubv76TeCsMdhZn7DrDa9bcSDOl85VjAZpyCIC6crLhVc8sNoAcIHZI2NY1LwQx4268HHCjPt&#10;nnyixzmUIkLYZ6jAhNBmUvrCkEU/di1x9G6usxii7EqpO3xGuG3kV5rOpMWK44LBlnaGivp8twr6&#10;JNntpzXW34vk2s73h183N7lSn8N+uwQRqA//4Xf7qBVMZ/D6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IyaFwgAAANsAAAAPAAAAAAAAAAAAAAAAAJgCAABkcnMvZG93&#10;bnJldi54bWxQSwUGAAAAAAQABAD1AAAAhwMAAAAA&#10;" strokecolor="#c0504d [3205]" strokeweight="2.25pt">
                  <v:stroke endarrow="block"/>
                  <v:textbox style="mso-fit-shape-to-text:t">
                    <w:txbxContent>
                      <w:p w:rsidR="000B247C" w:rsidRDefault="000B247C" w:rsidP="000B247C">
                        <w:pPr>
                          <w:rPr>
                            <w:rFonts w:eastAsia="Times New Roman"/>
                          </w:rPr>
                        </w:pPr>
                      </w:p>
                    </w:txbxContent>
                  </v:textbox>
                </v:line>
                <v:shape id="Text Box 25" o:spid="_x0000_s1038" type="#_x0000_t202" style="position:absolute;left:2606;top:19520;width:19651;height:76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DaesQA&#10;AADbAAAADwAAAGRycy9kb3ducmV2LnhtbESPQWvCQBSE70L/w/IKvemmUm1Js0oRBE/SJg2lt0f2&#10;mQ3Jvg3ZVWN/vVsQPA4z8w2TrUfbiRMNvnGs4HmWgCCunG64VvBdbKdvIHxA1tg5JgUX8rBePUwy&#10;TLU78xed8lCLCGGfogITQp9K6StDFv3M9cTRO7jBYohyqKUe8BzhtpPzJFlKiw3HBYM9bQxVbX60&#10;Cj7pkM93xf5vg+X4U5SmN+3Lr1JPj+PHO4hAY7iHb+2dVrB4hf8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A2nrEAAAA2wAAAA8AAAAAAAAAAAAAAAAAmAIAAGRycy9k&#10;b3ducmV2LnhtbFBLBQYAAAAABAAEAPUAAACJAwAAAAA=&#10;" filled="f" strokecolor="#c0504d [3205]"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Initial Availability</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of Pellets</w:t>
                        </w:r>
                      </w:p>
                    </w:txbxContent>
                  </v:textbox>
                </v:shape>
                <v:shape id="Text Box 33" o:spid="_x0000_s1039" type="#_x0000_t202" style="position:absolute;left:47722;top:7635;width:17110;height:7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TMMEA&#10;AADbAAAADwAAAGRycy9kb3ducmV2LnhtbERPu2rDMBTdC/kHcQNdSiKn1ElwooRgcOlW6nbIeLFu&#10;bBPrykiKH39fDYWOh/M+nifTiYGcby0r2KwTEMSV1S3XCn6+i9UehA/IGjvLpGAmD+fT4umImbYj&#10;f9FQhlrEEPYZKmhC6DMpfdWQQb+2PXHkbtYZDBG6WmqHYww3nXxNkq002HJsaLCnvKHqXj6MgoQ+&#10;07dBb8tbb+b8vbi48fqyU+p5OV0OIAJN4V/85/7QCtI4Nn6JP0C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s0zDBAAAA2wAAAA8AAAAAAAAAAAAAAAAAmAIAAGRycy9kb3du&#10;cmV2LnhtbFBLBQYAAAAABAAEAPUAAACGAwAAAAA=&#10;" filled="f" strokecolor="red"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Western Gull</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Characteristics</w:t>
                        </w:r>
                      </w:p>
                    </w:txbxContent>
                  </v:textbox>
                </v:shape>
                <v:shape id="Text Box 34" o:spid="_x0000_s1040" type="#_x0000_t202" style="position:absolute;left:44646;top:31451;width:22910;height:113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2q8MA&#10;AADbAAAADwAAAGRycy9kb3ducmV2LnhtbESPQWvCQBSE70L/w/IKXqRuKpq2qauIoHgTYw89PrLP&#10;JDT7Nuxuk/jvXUHwOMzMN8xyPZhGdOR8bVnB+zQBQVxYXXOp4Oe8e/sE4QOyxsYyKbiSh/XqZbTE&#10;TNueT9TloRQRwj5DBVUIbSalLyoy6Ke2JY7exTqDIUpXSu2wj3DTyFmSpNJgzXGhwpa2FRV/+b9R&#10;kNBxMe90ml9ac93udxvX/04+lBq/DptvEIGG8Aw/2getYPEF9y/xB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B2q8MAAADbAAAADwAAAAAAAAAAAAAAAACYAgAAZHJzL2Rv&#10;d25yZXYueG1sUEsFBgAAAAAEAAQA9QAAAIgDAAAAAA==&#10;" filled="f" strokecolor="red"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Ingestion Rates and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Rate of Metabolism </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and Elimination</w:t>
                        </w:r>
                      </w:p>
                    </w:txbxContent>
                  </v:textbox>
                </v:shape>
                <v:line id="Line 35" o:spid="_x0000_s1041" style="position:absolute;visibility:visible;mso-wrap-style:square;v-text-anchor:top" from="56080,15357" to="56080,19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rU5MEA&#10;AADbAAAADwAAAGRycy9kb3ducmV2LnhtbERPz2vCMBS+D/Y/hDfwMmzq2EQ6YxFF7EWG1cOOj+Yt&#10;7dq8lCbT7r83B8Hjx/d7mY+2ExcafONYwSxJQRBXTjdsFJxPu+kChA/IGjvHpOCfPOSr56clZtpd&#10;+UiXMhgRQ9hnqKAOoc+k9FVNFn3ieuLI/bjBYohwMFIPeI3htpNvaTqXFhuODTX2tKmpass/q+B3&#10;+1WY4nV837XNYU/SOP/x7ZSavIzrTxCBxvAQ392FVjCP6+OX+APk6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K1OTBAAAA2wAAAA8AAAAAAAAAAAAAAAAAmAIAAGRycy9kb3du&#10;cmV2LnhtbFBLBQYAAAAABAAEAPUAAACGAwAAAAA=&#10;" strokecolor="red" strokeweight="2.25pt">
                  <v:stroke endarrow="block"/>
                  <v:textbox style="mso-fit-shape-to-text:t">
                    <w:txbxContent>
                      <w:p w:rsidR="000B247C" w:rsidRDefault="000B247C" w:rsidP="000B247C">
                        <w:pPr>
                          <w:rPr>
                            <w:rFonts w:eastAsia="Times New Roman"/>
                          </w:rPr>
                        </w:pPr>
                      </w:p>
                    </w:txbxContent>
                  </v:textbox>
                </v:line>
                <v:shape id="Text Box 36" o:spid="_x0000_s1042" type="#_x0000_t202" style="position:absolute;left:45861;top:19520;width:20552;height:76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qwEMMA&#10;AADbAAAADwAAAGRycy9kb3ducmV2LnhtbESPQWvCQBSE7wX/w/KEXopuLG2U6CoiKL2VRg8eH9ln&#10;Esy+DbtrEv+9Kwg9DjPzDbPaDKYRHTlfW1YwmyYgiAuray4VnI77yQKED8gaG8uk4E4eNuvR2woz&#10;bXv+oy4PpYgQ9hkqqEJoMyl9UZFBP7UtcfQu1hkMUbpSaod9hJtGfiZJKg3WHBcqbGlXUXHNb0ZB&#10;Qr/fX51O80tr7rvDfuv688dcqffxsF2CCDSE//Cr/aMVpDN4fok/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qwEMMAAADbAAAADwAAAAAAAAAAAAAAAACYAgAAZHJzL2Rv&#10;d25yZXYueG1sUEsFBgAAAAAEAAQA9QAAAIgDAAAAAA==&#10;" filled="f" strokecolor="red"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Diet and</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Foraging Behavior</w:t>
                        </w:r>
                      </w:p>
                    </w:txbxContent>
                  </v:textbox>
                </v:shape>
                <v:line id="Line 5" o:spid="_x0000_s1043" style="position:absolute;visibility:visible;mso-wrap-style:square;v-text-anchor:top" from="22927,43159" to="22927,47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5l3sQA&#10;AADbAAAADwAAAGRycy9kb3ducmV2LnhtbESP3WrCQBSE7wu+w3KE3ohuTMGf6CpRLK2X/jzAIXvM&#10;BrNnQ3ZrYp++Wyj0cpiZb5j1tre1eFDrK8cKppMEBHHhdMWlguvlfbwA4QOyxtoxKXiSh+1m8LLG&#10;TLuOT/Q4h1JECPsMFZgQmkxKXxiy6CeuIY7ezbUWQ5RtKXWLXYTbWqZJMpMWK44LBhvaGyru5y8b&#10;KW8j8z1fXg7pSOfT8tjt891HpdTrsM9XIAL14T/81/7UCmYp/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d7EAAAA2wAAAA8AAAAAAAAAAAAAAAAAmAIAAGRycy9k&#10;b3ducmV2LnhtbFBLBQYAAAAABAAEAPUAAACJAwAAAAA=&#10;" strokecolor="fuchsia" strokeweight="2.25pt">
                  <v:textbox style="mso-fit-shape-to-text:t">
                    <w:txbxContent>
                      <w:p w:rsidR="000B247C" w:rsidRDefault="000B247C" w:rsidP="000B247C">
                        <w:pPr>
                          <w:rPr>
                            <w:rFonts w:eastAsia="Times New Roman"/>
                          </w:rPr>
                        </w:pPr>
                      </w:p>
                    </w:txbxContent>
                  </v:textbox>
                </v:line>
                <v:line id="Line 8" o:spid="_x0000_s1044" style="position:absolute;visibility:visible;mso-wrap-style:square;v-text-anchor:top" from="53475,46982" to="53475,51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J0sMA&#10;AADbAAAADwAAAGRycy9kb3ducmV2LnhtbESPzWrDMBCE74G+g9hCb7FcB0zrWgklEGgOLTTOAyzW&#10;+iexVkZSbfftq0Igx2FmvmHK3WIGMZHzvWUFz0kKgri2uudWwbk6rF9A+ICscbBMCn7Jw277sCqx&#10;0Hbmb5pOoRURwr5ABV0IYyGlrzsy6BM7Ekevsc5giNK1UjucI9wMMkvTXBrsOS50ONK+o/p6+jEK&#10;6Ni65fAZmq9L9VrNWd47Xe+Venpc3t9ABFrCPXxrf2gF+Qb+v8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PJ0sMAAADbAAAADwAAAAAAAAAAAAAAAACYAgAAZHJzL2Rv&#10;d25yZXYueG1sUEsFBgAAAAAEAAQA9QAAAIgDAAAAAA==&#10;" strokecolor="fuchsia" strokeweight="2.25pt">
                  <v:stroke endarrow="block"/>
                  <v:textbox style="mso-fit-shape-to-text:t">
                    <w:txbxContent>
                      <w:p w:rsidR="000B247C" w:rsidRDefault="000B247C" w:rsidP="000B247C">
                        <w:pPr>
                          <w:rPr>
                            <w:rFonts w:eastAsia="Times New Roman"/>
                          </w:rPr>
                        </w:pPr>
                      </w:p>
                    </w:txbxContent>
                  </v:textbox>
                </v:line>
                <v:shape id="Text Box 9" o:spid="_x0000_s1045" type="#_x0000_t202" style="position:absolute;left:41068;top:51195;width:24762;height:40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jFsIA&#10;AADbAAAADwAAAGRycy9kb3ducmV2LnhtbESPT4vCMBTE7wt+h/AEL8uaKiLSNYoIggcPWv/s9dG8&#10;bYrNS2mird/eCILHYWZ+w8yXna3EnRpfOlYwGiYgiHOnSy4UnI6bnxkIH5A1Vo5JwYM8LBe9rzmm&#10;2rV8oHsWChEh7FNUYEKoUyl9bsiiH7qaOHr/rrEYomwKqRtsI9xWcpwkU2mx5LhgsKa1ofya3ayC&#10;UNi1yS7f+/Pur61HNHHHR+uUGvS71S+IQF34hN/trVYwncDrS/w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1WMWwgAAANsAAAAPAAAAAAAAAAAAAAAAAJgCAABkcnMvZG93&#10;bnJldi54bWxQSwUGAAAAAAQABAD1AAAAhwMAAAAA&#10;" filled="f" strokecolor="fuchsia" strokeweight="2.25pt">
                  <v:textbox style="mso-fit-shape-to-text:t">
                    <w:txbxContent>
                      <w:p w:rsidR="000B247C" w:rsidRDefault="000B247C" w:rsidP="000B247C">
                        <w:pPr>
                          <w:pStyle w:val="NormalWeb"/>
                          <w:kinsoku w:val="0"/>
                          <w:overflowPunct w:val="0"/>
                          <w:spacing w:before="96" w:beforeAutospacing="0" w:after="0" w:afterAutospacing="0"/>
                        </w:pPr>
                        <w:r>
                          <w:rPr>
                            <w:rFonts w:asciiTheme="minorHAnsi" w:hAnsi="Calibri" w:cstheme="minorBidi"/>
                            <w:color w:val="000000" w:themeColor="text1"/>
                            <w:kern w:val="24"/>
                            <w:sz w:val="40"/>
                            <w:szCs w:val="40"/>
                          </w:rPr>
                          <w:t>Level of Gull Exposure</w:t>
                        </w:r>
                      </w:p>
                    </w:txbxContent>
                  </v:textbox>
                </v:shape>
                <v:line id="Straight Connector 65" o:spid="_x0000_s1046" style="position:absolute;visibility:visible;mso-wrap-style:square" from="23068,47057" to="56191,47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NcMMQAAADbAAAADwAAAGRycy9kb3ducmV2LnhtbESP0WrCQBRE3wX/YbmFvukmlopE11AE&#10;QSi0RvMB1+x1kzZ7N2S3Sfr33UKhj8PMnGF2+WRbMVDvG8cK0mUCgrhyumGjoLweFxsQPiBrbB2T&#10;gm/ykO/nsx1m2o1c0HAJRkQI+wwV1CF0mZS+qsmiX7qOOHp311sMUfZG6h7HCLetXCXJWlpsOC7U&#10;2NGhpurz8mUVvKXnobHmXHy8Fq053bAc359KpR4fppctiEBT+A//tU9awfoZfr/EH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s1wwxAAAANsAAAAPAAAAAAAAAAAA&#10;AAAAAKECAABkcnMvZG93bnJldi54bWxQSwUGAAAAAAQABAD5AAAAkgMAAAAA&#10;" strokecolor="fuchsia" strokeweight="2.25pt"/>
                <v:shape id="Text Box 3" o:spid="_x0000_s1047" type="#_x0000_t202" style="position:absolute;left:23607;top:72189;width:6935;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QPcQA&#10;AADbAAAADwAAAGRycy9kb3ducmV2LnhtbESP0WrCQBRE3wX/YblC3+pGKUGjq6jQYuuDGP2Aa/aa&#10;BLN3w+5WY7++Wyj4OMzMGWa+7EwjbuR8bVnBaJiAIC6srrlUcDq+v05A+ICssbFMCh7kYbno9+aY&#10;aXvnA93yUIoIYZ+hgiqENpPSFxUZ9EPbEkfvYp3BEKUrpXZ4j3DTyHGSpNJgzXGhwpY2FRXX/Nso&#10;mBa7g/FuHU6fH/nP+avejh77N6VeBt1qBiJQF57h//ZWK0hT+PsSf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Y0D3EAAAA2wAAAA8AAAAAAAAAAAAAAAAAmAIAAGRycy9k&#10;b3ducmV2LnhtbFBLBQYAAAAABAAEAPUAAACJAwAAAAA=&#10;" filled="f" strokecolor="aqua"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Alive</w:t>
                        </w:r>
                      </w:p>
                    </w:txbxContent>
                  </v:textbox>
                </v:shape>
                <v:shape id="Text Box 4" o:spid="_x0000_s1048" type="#_x0000_t202" style="position:absolute;left:38505;top:72160;width:10842;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1psUA&#10;AADbAAAADwAAAGRycy9kb3ducmV2LnhtbESP0WrCQBRE3wX/YbkF3+omRVKNrmILLWofiqkfcJu9&#10;JqHZu2F3q9GvdwsFH4eZOcMsVr1pxYmcbywrSMcJCOLS6oYrBYevt8cpCB+QNbaWScGFPKyWw8EC&#10;c23PvKdTESoRIexzVFCH0OVS+rImg35sO+LoHa0zGKJ0ldQOzxFuWvmUJJk02HBcqLGj15rKn+LX&#10;KJiVH3vj3Us4bN+L6/eu2aSXz4lSo4d+PQcRqA/38H97oxVkz/D3Jf4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1HWmxQAAANsAAAAPAAAAAAAAAAAAAAAAAJgCAABkcnMv&#10;ZG93bnJldi54bWxQSwUGAAAAAAQABAD1AAAAigMAAAAA&#10;" filled="f" strokecolor="aqua"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Lethality</w:t>
                        </w:r>
                      </w:p>
                    </w:txbxContent>
                  </v:textbox>
                </v:shape>
                <v:line id="Line 5" o:spid="_x0000_s1049" style="position:absolute;visibility:visible;mso-wrap-style:square;v-text-anchor:top" from="38187,65921" to="44283,72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CEU7sA&#10;AADbAAAADwAAAGRycy9kb3ducmV2LnhtbERPvQrCMBDeBd8hnOCmqQ4i1SgiiOKk1cXtaM622Fxq&#10;Em19ezMIjh/f/3LdmVq8yfnKsoLJOAFBnFtdcaHgetmN5iB8QNZYWyYFH/KwXvV7S0y1bflM7ywU&#10;IoawT1FBGUKTSunzkgz6sW2II3e3zmCI0BVSO2xjuKnlNElm0mDFsaHEhrYl5Y/sZRRQq+duf3rt&#10;2F+TJx5v1mTtQanhoNssQATqwl/8cx+0glkcG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LQhFO7AAAA2wAAAA8AAAAAAAAAAAAAAAAAmAIAAGRycy9kb3ducmV2Lnht&#10;bFBLBQYAAAAABAAEAPUAAACAAwAAAAA=&#10;" strokecolor="aqua" strokeweight="2.25pt">
                  <v:stroke endarrow="block"/>
                  <v:textbox style="mso-fit-shape-to-text:t">
                    <w:txbxContent>
                      <w:p w:rsidR="000B247C" w:rsidRDefault="000B247C" w:rsidP="000B247C">
                        <w:pPr>
                          <w:rPr>
                            <w:rFonts w:eastAsia="Times New Roman"/>
                          </w:rPr>
                        </w:pPr>
                      </w:p>
                    </w:txbxContent>
                  </v:textbox>
                </v:line>
                <v:line id="Line 6" o:spid="_x0000_s1050" style="position:absolute;flip:x;visibility:visible;mso-wrap-style:square;v-text-anchor:top" from="27043,65919" to="33139,72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Q9sEA&#10;AADbAAAADwAAAGRycy9kb3ducmV2LnhtbESPzYrCMBSF9wO+Q7iCuzGtCx2rUYoyICMUporrS3Nt&#10;i81NaTK18/ZGEFwezs/HWW8H04ieOldbVhBPIxDEhdU1lwrOp+/PLxDOI2tsLJOCf3Kw3Yw+1pho&#10;e+df6nNfijDCLkEFlfdtIqUrKjLoprYlDt7VdgZ9kF0pdYf3MG4aOYuiuTRYcyBU2NKuouKW/5nA&#10;1VmfxSebpqn+ue1jPGbDZaHUZDykKxCeBv8Ov9oHrWC+hOeX8A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p0PbBAAAA2wAAAA8AAAAAAAAAAAAAAAAAmAIAAGRycy9kb3du&#10;cmV2LnhtbFBLBQYAAAAABAAEAPUAAACGAwAAAAA=&#10;" strokecolor="aqua" strokeweight="2.25pt">
                  <v:stroke endarrow="block"/>
                  <v:textbox style="mso-fit-shape-to-text:t">
                    <w:txbxContent>
                      <w:p w:rsidR="000B247C" w:rsidRDefault="000B247C" w:rsidP="000B247C">
                        <w:pPr>
                          <w:rPr>
                            <w:rFonts w:eastAsia="Times New Roman"/>
                          </w:rPr>
                        </w:pPr>
                      </w:p>
                    </w:txbxContent>
                  </v:textbox>
                </v:line>
                <v:shape id="Text Box 7" o:spid="_x0000_s1051" type="#_x0000_t202" style="position:absolute;left:41836;top:67490;width:5334;height:33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8fe8EA&#10;AADbAAAADwAAAGRycy9kb3ducmV2LnhtbERP3U7CMBS+N+EdmkPinXQQkDkohIAm3gnTBzhZj+vY&#10;erq0BSZPby9MvPzy/a+3g+3ElXxoHCuYTjIQxJXTDdcKvj7fnnIQISJr7ByTgh8KsN2MHtZYaHfj&#10;E13LWIsUwqFABSbGvpAyVIYshonriRP37bzFmKCvpfZ4S+G2k7Mse5YWG04NBnvaG6ra8mIV5Jn9&#10;aNuX2THY+X26MPuDe+3PSj2Oh90KRKQh/ov/3O9awTKtT1/SD5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fH3vBAAAA2wAAAA8AAAAAAAAAAAAAAAAAmAIAAGRycy9kb3du&#10;cmV2LnhtbFBLBQYAAAAABAAEAPUAAACGAwAAAAA=&#10;" filled="f" stroked="f">
                  <v:textbox style="mso-fit-shape-to-text:t">
                    <w:txbxContent>
                      <w:p w:rsidR="000B247C" w:rsidRDefault="000B247C" w:rsidP="000B247C">
                        <w:pPr>
                          <w:pStyle w:val="NormalWeb"/>
                          <w:kinsoku w:val="0"/>
                          <w:overflowPunct w:val="0"/>
                          <w:spacing w:before="77" w:beforeAutospacing="0" w:after="0" w:afterAutospacing="0"/>
                        </w:pPr>
                        <w:r>
                          <w:rPr>
                            <w:rFonts w:asciiTheme="minorHAnsi" w:hAnsi="Calibri" w:cstheme="minorBidi"/>
                            <w:i/>
                            <w:iCs/>
                            <w:color w:val="000000" w:themeColor="text1"/>
                            <w:kern w:val="24"/>
                            <w:sz w:val="32"/>
                            <w:szCs w:val="32"/>
                          </w:rPr>
                          <w:t>Yes</w:t>
                        </w:r>
                      </w:p>
                    </w:txbxContent>
                  </v:textbox>
                </v:shape>
                <v:shape id="Text Box 8" o:spid="_x0000_s1052" type="#_x0000_t202" style="position:absolute;left:25090;top:67300;width:4430;height:3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O64MMA&#10;AADbAAAADwAAAGRycy9kb3ducmV2LnhtbESPwW7CMBBE75X4B2uRuIETBAUCBiFaJG5tgQ9YxUsc&#10;Eq+j2IW0X18jIfU4mpk3mtWms7W4UetLxwrSUQKCOHe65ELB+bQfzkH4gKyxdkwKfsjDZt17WWGm&#10;3Z2/6HYMhYgQ9hkqMCE0mZQ+N2TRj1xDHL2Lay2GKNtC6hbvEW5rOU6SV2mx5LhgsKGdobw6flsF&#10;88R+VNVi/Ont5Dedmt2be2+uSg363XYJIlAX/sPP9kErmKX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O64MMAAADbAAAADwAAAAAAAAAAAAAAAACYAgAAZHJzL2Rv&#10;d25yZXYueG1sUEsFBgAAAAAEAAQA9QAAAIgDAAAAAA==&#10;" filled="f" stroked="f">
                  <v:textbox style="mso-fit-shape-to-text:t">
                    <w:txbxContent>
                      <w:p w:rsidR="000B247C" w:rsidRDefault="000B247C" w:rsidP="000B247C">
                        <w:pPr>
                          <w:pStyle w:val="NormalWeb"/>
                          <w:kinsoku w:val="0"/>
                          <w:overflowPunct w:val="0"/>
                          <w:spacing w:before="77" w:beforeAutospacing="0" w:after="0" w:afterAutospacing="0"/>
                        </w:pPr>
                        <w:r>
                          <w:rPr>
                            <w:rFonts w:asciiTheme="minorHAnsi" w:hAnsi="Calibri" w:cstheme="minorBidi"/>
                            <w:i/>
                            <w:iCs/>
                            <w:color w:val="000000" w:themeColor="text1"/>
                            <w:kern w:val="24"/>
                            <w:sz w:val="32"/>
                            <w:szCs w:val="32"/>
                          </w:rPr>
                          <w:t>No</w:t>
                        </w:r>
                      </w:p>
                    </w:txbxContent>
                  </v:textbox>
                </v:shape>
                <v:shape id="Text Box 10" o:spid="_x0000_s1053" type="#_x0000_t202" style="position:absolute;left:24290;top:77582;width:22961;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ILz8UA&#10;AADbAAAADwAAAGRycy9kb3ducmV2LnhtbESPT2vCQBTE74LfYXlCb3VjDlbSbKQIUkEK9Q+it9fs&#10;axLMvk13t5p+e1coeBxm5jdMPu9NKy7kfGNZwWScgCAurW64UrDfLZ9nIHxA1thaJgV/5GFeDAc5&#10;ZtpeeUOXbahEhLDPUEEdQpdJ6cuaDPqx7Yij922dwRClq6R2eI1w08o0SabSYMNxocaOFjWV5+2v&#10;UfDzdVqn/tSV/XF1cJ8a+fjRvCv1NOrfXkEE6sMj/N9eaQUvKdy/xB8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cgvPxQAAANsAAAAPAAAAAAAAAAAAAAAAAJgCAABkcnMv&#10;ZG93bnJldi54bWxQSwUGAAAAAAQABAD1AAAAigMAAAAA&#10;" filled="f" stroked="f" strokeweight="2.25pt">
                  <v:textbox style="mso-fit-shape-to-text:t">
                    <w:txbxContent>
                      <w:p w:rsidR="000B247C" w:rsidRDefault="000B247C" w:rsidP="000B247C">
                        <w:pPr>
                          <w:pStyle w:val="NormalWeb"/>
                          <w:kinsoku w:val="0"/>
                          <w:overflowPunct w:val="0"/>
                          <w:spacing w:before="96" w:beforeAutospacing="0" w:after="0" w:afterAutospacing="0"/>
                        </w:pPr>
                        <w:r>
                          <w:rPr>
                            <w:rFonts w:asciiTheme="minorHAnsi" w:hAnsi="Calibri" w:cstheme="minorBidi"/>
                            <w:color w:val="000000" w:themeColor="text1"/>
                            <w:kern w:val="24"/>
                            <w:sz w:val="40"/>
                            <w:szCs w:val="40"/>
                          </w:rPr>
                          <w:t>Repeat for Next Bird</w:t>
                        </w:r>
                      </w:p>
                    </w:txbxContent>
                  </v:textbox>
                </v:shape>
                <v:line id="Line 13" o:spid="_x0000_s1054" style="position:absolute;visibility:visible;mso-wrap-style:square;v-text-anchor:top" from="21709,81174" to="49903,81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XIsEA&#10;AADbAAAADwAAAGRycy9kb3ducmV2LnhtbESPQWvCQBSE74X+h+UVeim6MYpKdBURBK9Nzf2RfW6C&#10;2bchu5qkv94tCD0OM/MNs90PthEP6nztWMFsmoAgLp2u2Si4/JwmaxA+IGtsHJOCkTzsd+9vW8y0&#10;6/mbHnkwIkLYZ6igCqHNpPRlRRb91LXE0bu6zmKIsjNSd9hHuG1kmiRLabHmuFBhS8eKylt+twrk&#10;WJjfr8DXxXzWmqIoktSsLkp9fgyHDYhAQ/gPv9pnrWC1gL8v8QfI3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flyLBAAAA2wAAAA8AAAAAAAAAAAAAAAAAmAIAAGRycy9kb3du&#10;cmV2LnhtbFBLBQYAAAAABAAEAPUAAACGAwAAAAA=&#10;" strokecolor="black [3213]">
                  <v:textbox style="mso-fit-shape-to-text:t">
                    <w:txbxContent>
                      <w:p w:rsidR="000B247C" w:rsidRDefault="000B247C" w:rsidP="000B247C">
                        <w:pPr>
                          <w:rPr>
                            <w:rFonts w:eastAsia="Times New Roman"/>
                          </w:rPr>
                        </w:pPr>
                      </w:p>
                    </w:txbxContent>
                  </v:textbox>
                </v:line>
                <v:line id="Line 14" o:spid="_x0000_s1055" style="position:absolute;visibility:visible;mso-wrap-style:square;v-text-anchor:top" from="21709,78746" to="21709,8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yucMA&#10;AADbAAAADwAAAGRycy9kb3ducmV2LnhtbESPzWrDMBCE74W8g9hAL6WWk+anuJZDKRRybRLfF2st&#10;m1orY6m206ePCoUch5n5hskPs+3ESINvHStYJSkI4srplo2Cy/nz+RWED8gaO8ek4EoeDsXiIcdM&#10;u4m/aDwFIyKEfYYKmhD6TEpfNWTRJ64njl7tBoshysFIPeAU4baT6zTdSYstx4UGe/poqPo+/VgF&#10;8lqa36fA9eZl1ZuyLNO12V+UelzO728gAs3hHv5vH7WC/Rb+vsQf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JMyucMAAADbAAAADwAAAAAAAAAAAAAAAACYAgAAZHJzL2Rv&#10;d25yZXYueG1sUEsFBgAAAAAEAAQA9QAAAIgDAAAAAA==&#10;" strokecolor="black [3213]">
                  <v:textbox style="mso-fit-shape-to-text:t">
                    <w:txbxContent>
                      <w:p w:rsidR="000B247C" w:rsidRDefault="000B247C" w:rsidP="000B247C">
                        <w:pPr>
                          <w:rPr>
                            <w:rFonts w:eastAsia="Times New Roman"/>
                          </w:rPr>
                        </w:pPr>
                      </w:p>
                    </w:txbxContent>
                  </v:textbox>
                </v:line>
                <v:line id="Line 15" o:spid="_x0000_s1056" style="position:absolute;visibility:visible;mso-wrap-style:square;v-text-anchor:top" from="49985,78746" to="49985,8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szsEA&#10;AADbAAAADwAAAGRycy9kb3ducmV2LnhtbESPW4vCMBSE3wX/QzgLvoimXlCpTWVZEHz10vdDc0zL&#10;NieliVr3128EwcdhZr5hsl1vG3GnzteOFcymCQji0umajYLLeT/ZgPABWWPjmBQ8ycMuHw4yTLV7&#10;8JHup2BEhLBPUUEVQptK6cuKLPqpa4mjd3WdxRBlZ6Tu8BHhtpHzJFlJizXHhQpb+qmo/D3drAL5&#10;LMzfOPB1uZi1piiKZG7WF6VGX/33FkSgPnzC7/ZBK1iv4PUl/gCZ/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BrM7BAAAA2wAAAA8AAAAAAAAAAAAAAAAAmAIAAGRycy9kb3du&#10;cmV2LnhtbFBLBQYAAAAABAAEAPUAAACGAwAAAAA=&#10;" strokecolor="black [3213]">
                  <v:textbox style="mso-fit-shape-to-text:t">
                    <w:txbxContent>
                      <w:p w:rsidR="000B247C" w:rsidRDefault="000B247C" w:rsidP="000B247C">
                        <w:pPr>
                          <w:rPr>
                            <w:rFonts w:eastAsia="Times New Roman"/>
                          </w:rPr>
                        </w:pPr>
                      </w:p>
                    </w:txbxContent>
                  </v:textbox>
                </v:line>
                <v:shape id="Text Box 18" o:spid="_x0000_s1057" type="#_x0000_t202" style="position:absolute;left:5206;top:49644;width:25210;height:76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50yMUA&#10;AADbAAAADwAAAGRycy9kb3ducmV2LnhtbESPQWvCQBSE70L/w/IKXqRuVNCSuooaQwQvagu9PrKv&#10;SWj2bciuGv313YLgcZiZb5j5sjO1uFDrKssKRsMIBHFudcWFgq/P9O0dhPPIGmvLpOBGDpaLl94c&#10;Y22vfKTLyRciQNjFqKD0vomldHlJBt3QNsTB+7GtQR9kW0jd4jXATS3HUTSVBisOCyU2tCkp/z2d&#10;jYL1Pkmiw25rk/R7cD5kaTahe6ZU/7VbfYDw1Pln+NHeaQWzGfx/C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nTIxQAAANsAAAAPAAAAAAAAAAAAAAAAAJgCAABkcnMv&#10;ZG93bnJldi54bWxQSwUGAAAAAAQABAD1AAAAigMAAAAA&#10;" filled="f" strokecolor="#7f7f7f [1612]"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Randomly Select From</w:t>
                        </w:r>
                      </w:p>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Dose-Response Curve</w:t>
                        </w:r>
                      </w:p>
                    </w:txbxContent>
                  </v:textbox>
                </v:shape>
                <v:shape id="Text Box 32" o:spid="_x0000_s1058" type="#_x0000_t202" style="position:absolute;left:24648;top:61821;width:21922;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RKA78A&#10;AADbAAAADwAAAGRycy9kb3ducmV2LnhtbERPy4rCMBTdC/MP4QruNK2CSjWWMoMwW1s37i7N7UOb&#10;m9Jkame+frIQXB7O+5hOphMjDa61rCBeRSCIS6tbrhVci/NyD8J5ZI2dZVLwSw7S08fsiIm2T77Q&#10;mPtahBB2CSpovO8TKV3ZkEG3sj1x4Co7GPQBDrXUAz5DuOnkOoq20mDLoaHBnj4bKh/5j1GQ+bzQ&#10;D1Ns4ntmKN7fqr/bV6XUYj5lBxCeJv8Wv9zfWsEujA1fwg+Qp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pEoDvwAAANsAAAAPAAAAAAAAAAAAAAAAAJgCAABkcnMvZG93bnJl&#10;di54bWxQSwUGAAAAAAQABAD1AAAAhAMAAAAA&#10;" filled="f" strokecolor="#f90" strokeweight="2.25pt">
                  <v:textbox style="mso-fit-shape-to-text:t">
                    <w:txbxContent>
                      <w:p w:rsidR="000B247C" w:rsidRDefault="000B247C" w:rsidP="000B247C">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Exposure &gt; Effects?</w:t>
                        </w:r>
                      </w:p>
                    </w:txbxContent>
                  </v:textbox>
                </v:shape>
                <v:group id="Group 79" o:spid="_x0000_s1059" style="position:absolute;left:17639;top:57537;width:6858;height:6236" coordorigin="17639,57537" coordsize="6858,6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line id="Line 33" o:spid="_x0000_s1060" style="position:absolute;visibility:visible;mso-wrap-style:square;v-text-anchor:top" from="17639,63773" to="24497,63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Hw8YA&#10;AADbAAAADwAAAGRycy9kb3ducmV2LnhtbESPQWvCQBSE7wX/w/KEXkrdtILa6Cql0NqLiIk99PbM&#10;PpPF7NuQ3Zr477uC4HGYmW+Yxaq3tThT641jBS+jBARx4bThUsE+/3yegfABWWPtmBRcyMNqOXhY&#10;YKpdxzs6Z6EUEcI+RQVVCE0qpS8qsuhHriGO3tG1FkOUbSl1i12E21q+JslEWjQcFyps6KOi4pT9&#10;WQVf2+nh5y3f/5bd09oX480uM6ZX6nHYv89BBOrDPXxrf2sFszFcv8Qf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eHw8YAAADbAAAADwAAAAAAAAAAAAAAAACYAgAAZHJz&#10;L2Rvd25yZXYueG1sUEsFBgAAAAAEAAQA9QAAAIsDAAAAAA==&#10;" strokecolor="#f90" strokeweight="2.25pt">
                    <v:stroke endarrow="block"/>
                    <v:textbox style="mso-fit-shape-to-text:t">
                      <w:txbxContent>
                        <w:p w:rsidR="000B247C" w:rsidRDefault="000B247C" w:rsidP="000B247C">
                          <w:pPr>
                            <w:rPr>
                              <w:rFonts w:eastAsia="Times New Roman"/>
                            </w:rPr>
                          </w:pPr>
                        </w:p>
                      </w:txbxContent>
                    </v:textbox>
                  </v:line>
                  <v:line id="Line 36" o:spid="_x0000_s1061" style="position:absolute;flip:y;visibility:visible;mso-wrap-style:square;v-text-anchor:top" from="17782,57537" to="17782,63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gklsUA&#10;AADbAAAADwAAAGRycy9kb3ducmV2LnhtbESPT2sCMRTE74V+h/AKvdVsrYpujSKC4KEU/HPQ22Pz&#10;3CxuXtYkq9tvbwqCx2FmfsNM552txZV8qBwr+OxlIIgLpysuFex3q48xiBCRNdaOScEfBZjPXl+m&#10;mGt34w1dt7EUCcIhRwUmxiaXMhSGLIaea4iTd3LeYkzSl1J7vCW4rWU/y0bSYsVpwWBDS0PFedta&#10;BauwmKxrO/SHo7mcf74O7e9w2Sr1/tYtvkFE6uIz/GivtYLxAP6/p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WCSWxQAAANsAAAAPAAAAAAAAAAAAAAAAAJgCAABkcnMv&#10;ZG93bnJldi54bWxQSwUGAAAAAAQABAD1AAAAigMAAAAA&#10;" strokecolor="#f90" strokeweight="2.25pt">
                    <v:textbox>
                      <w:txbxContent>
                        <w:p w:rsidR="000B247C" w:rsidRDefault="000B247C" w:rsidP="000B247C">
                          <w:pPr>
                            <w:rPr>
                              <w:rFonts w:eastAsia="Times New Roman"/>
                            </w:rPr>
                          </w:pPr>
                        </w:p>
                      </w:txbxContent>
                    </v:textbox>
                  </v:line>
                </v:group>
                <v:group id="Group 80" o:spid="_x0000_s1062" style="position:absolute;left:46751;top:36211;width:6858;height:6236;flip:x" coordorigin="46751,55400" coordsize="6858,6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zt8AAAADbAAAADwAAAGRycy9kb3ducmV2LnhtbERPz2vCMBS+C/sfwhvs&#10;pqlSRLqmIoJSxi6r2/D4aJ5tsHkpTazdf78cBI8f3+98O9lOjDR441jBcpGAIK6dNtwo+D4d5hsQ&#10;PiBr7ByTgj/ysC1eZjlm2t35i8YqNCKGsM9QQRtCn0np65Ys+oXriSN3cYPFEOHQSD3gPYbbTq6S&#10;ZC0tGo4NLfa0b6m+Vjer4GdnUkp/zx+fSU1Uank+ViZV6u112r2DCDSFp/jhLrWCTVwfv8QfIIt/&#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n4DO3wAAAANsAAAAPAAAA&#10;AAAAAAAAAAAAAKoCAABkcnMvZG93bnJldi54bWxQSwUGAAAAAAQABAD6AAAAlwMAAAAA&#10;">
                  <v:line id="Line 33" o:spid="_x0000_s1063" style="position:absolute;visibility:visible;mso-wrap-style:square;v-text-anchor:top" from="46751,61637" to="53609,61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m8L8YA&#10;AADbAAAADwAAAGRycy9kb3ducmV2LnhtbESPT2vCQBTE74LfYXlCL1I3tqA2ukop9M9FxMQeentm&#10;n8li9m3Ibk367buC4HGYmd8wq01va3Gh1hvHCqaTBARx4bThUsEhf39cgPABWWPtmBT8kYfNejhY&#10;Yapdx3u6ZKEUEcI+RQVVCE0qpS8qsugnriGO3sm1FkOUbSl1i12E21o+JclMWjQcFyps6K2i4pz9&#10;WgUfu/nx+yU//JTd+NMXz9t9Zkyv1MOof12CCNSHe/jW/tIKFlO4fok/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Qm8L8YAAADbAAAADwAAAAAAAAAAAAAAAACYAgAAZHJz&#10;L2Rvd25yZXYueG1sUEsFBgAAAAAEAAQA9QAAAIsDAAAAAA==&#10;" strokecolor="#f90" strokeweight="2.25pt">
                    <v:stroke endarrow="block"/>
                    <v:textbox style="mso-fit-shape-to-text:t">
                      <w:txbxContent>
                        <w:p w:rsidR="000B247C" w:rsidRDefault="000B247C" w:rsidP="000B247C">
                          <w:pPr>
                            <w:rPr>
                              <w:rFonts w:eastAsia="Times New Roman"/>
                            </w:rPr>
                          </w:pPr>
                        </w:p>
                      </w:txbxContent>
                    </v:textbox>
                  </v:line>
                  <v:line id="Line 36" o:spid="_x0000_s1064" style="position:absolute;flip:y;visibility:visible;mso-wrap-style:square;v-text-anchor:top" from="46894,55400" to="46894,61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ZecQA&#10;AADbAAAADwAAAGRycy9kb3ducmV2LnhtbESPQWsCMRSE70L/Q3iF3jSrouhqFBEED6VQ9aC3x+a5&#10;Wdy8rElWt/++KRQ8DjPzDbNcd7YWD/KhcqxgOMhAEBdOV1wqOB13/RmIEJE11o5JwQ8FWK/eekvM&#10;tXvyNz0OsRQJwiFHBSbGJpcyFIYshoFriJN3dd5iTNKXUnt8Jrit5SjLptJixWnBYENbQ8Xt0FoF&#10;u7CZ72s78eeLud8+x+f2a7Jtlfp47zYLEJG6+Ar/t/dawWwEf1/S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9GXnEAAAA2wAAAA8AAAAAAAAAAAAAAAAAmAIAAGRycy9k&#10;b3ducmV2LnhtbFBLBQYAAAAABAAEAPUAAACJAwAAAAA=&#10;" strokecolor="#f90" strokeweight="2.25pt">
                    <v:textbox>
                      <w:txbxContent>
                        <w:p w:rsidR="000B247C" w:rsidRDefault="000B247C" w:rsidP="000B247C">
                          <w:pPr>
                            <w:rPr>
                              <w:rFonts w:eastAsia="Times New Roman"/>
                            </w:rPr>
                          </w:pPr>
                        </w:p>
                      </w:txbxContent>
                    </v:textbox>
                  </v:line>
                </v:group>
                <w10:anchorlock/>
              </v:group>
            </w:pict>
          </mc:Fallback>
        </mc:AlternateContent>
      </w:r>
    </w:p>
    <w:p w:rsidR="00221807" w:rsidRPr="00BD2BE7" w:rsidRDefault="00221807" w:rsidP="00AD0F87">
      <w:pPr>
        <w:jc w:val="center"/>
        <w:rPr>
          <w:rFonts w:cs="Times New Roman"/>
          <w:b/>
          <w:sz w:val="24"/>
          <w:szCs w:val="24"/>
          <w:lang w:val="en-US"/>
        </w:rPr>
      </w:pPr>
      <w:proofErr w:type="gramStart"/>
      <w:r w:rsidRPr="00572AC9">
        <w:rPr>
          <w:rFonts w:cs="Times New Roman"/>
          <w:b/>
          <w:sz w:val="24"/>
          <w:szCs w:val="24"/>
          <w:lang w:val="en-US"/>
        </w:rPr>
        <w:t>Figure 3-1</w:t>
      </w:r>
      <w:r w:rsidR="00AD0F87" w:rsidRPr="00572AC9">
        <w:rPr>
          <w:rFonts w:cs="Times New Roman"/>
          <w:b/>
          <w:sz w:val="24"/>
          <w:szCs w:val="24"/>
          <w:lang w:val="en-US"/>
        </w:rPr>
        <w:t>.</w:t>
      </w:r>
      <w:proofErr w:type="gramEnd"/>
      <w:r w:rsidR="00AD0F87" w:rsidRPr="00572AC9">
        <w:rPr>
          <w:rFonts w:cs="Times New Roman"/>
          <w:b/>
          <w:sz w:val="24"/>
          <w:szCs w:val="24"/>
          <w:lang w:val="en-US"/>
        </w:rPr>
        <w:t xml:space="preserve"> C</w:t>
      </w:r>
      <w:r w:rsidRPr="00572AC9">
        <w:rPr>
          <w:rFonts w:cs="Times New Roman"/>
          <w:b/>
          <w:sz w:val="24"/>
          <w:szCs w:val="24"/>
          <w:lang w:val="en-US"/>
        </w:rPr>
        <w:t>omponen</w:t>
      </w:r>
      <w:r w:rsidR="00AD0F87" w:rsidRPr="00572AC9">
        <w:rPr>
          <w:rFonts w:cs="Times New Roman"/>
          <w:b/>
          <w:sz w:val="24"/>
          <w:szCs w:val="24"/>
          <w:lang w:val="en-US"/>
        </w:rPr>
        <w:t xml:space="preserve">ts of western gull risk model for </w:t>
      </w:r>
      <w:r w:rsidR="00BE7C91">
        <w:rPr>
          <w:rFonts w:cs="Times New Roman"/>
          <w:b/>
          <w:sz w:val="24"/>
          <w:szCs w:val="24"/>
          <w:lang w:val="en-US"/>
        </w:rPr>
        <w:t>SFI</w:t>
      </w:r>
      <w:r w:rsidR="00AD0F87" w:rsidRPr="00572AC9">
        <w:rPr>
          <w:rFonts w:cs="Times New Roman"/>
          <w:b/>
          <w:sz w:val="24"/>
          <w:szCs w:val="24"/>
          <w:lang w:val="en-US"/>
        </w:rPr>
        <w:t>.</w:t>
      </w:r>
    </w:p>
    <w:p w:rsidR="000F56A1" w:rsidRDefault="00B51FC0" w:rsidP="00BD231C">
      <w:pPr>
        <w:rPr>
          <w:rFonts w:cs="Times New Roman"/>
          <w:sz w:val="24"/>
          <w:szCs w:val="24"/>
          <w:lang w:val="en-US"/>
        </w:rPr>
      </w:pPr>
      <w:r>
        <w:rPr>
          <w:rFonts w:cs="Times New Roman"/>
          <w:sz w:val="24"/>
          <w:szCs w:val="24"/>
          <w:lang w:val="en-US"/>
        </w:rPr>
        <w:t>The number of</w:t>
      </w:r>
      <w:r w:rsidRPr="0099279C">
        <w:rPr>
          <w:rFonts w:cs="Times New Roman"/>
          <w:sz w:val="24"/>
          <w:szCs w:val="24"/>
          <w:lang w:val="en-US"/>
        </w:rPr>
        <w:t xml:space="preserve"> western gulls</w:t>
      </w:r>
      <w:r>
        <w:rPr>
          <w:rFonts w:cs="Times New Roman"/>
          <w:sz w:val="24"/>
          <w:szCs w:val="24"/>
          <w:lang w:val="en-US"/>
        </w:rPr>
        <w:t xml:space="preserve"> simulated by the model is selected by the user. In the assessment described herein, the number of western gulls included in each simulation was 11,000 gulls</w:t>
      </w:r>
      <w:r w:rsidR="000F56A1">
        <w:rPr>
          <w:rFonts w:cs="Times New Roman"/>
          <w:sz w:val="24"/>
          <w:szCs w:val="24"/>
          <w:lang w:val="en-US"/>
        </w:rPr>
        <w:t xml:space="preserve"> which is the peak number of gulls expected on </w:t>
      </w:r>
      <w:r w:rsidR="00BE7C91">
        <w:rPr>
          <w:rFonts w:cs="Times New Roman"/>
          <w:sz w:val="24"/>
          <w:szCs w:val="24"/>
          <w:lang w:val="en-US"/>
        </w:rPr>
        <w:t>SFI</w:t>
      </w:r>
      <w:r w:rsidR="000F56A1">
        <w:rPr>
          <w:rFonts w:cs="Times New Roman"/>
          <w:sz w:val="24"/>
          <w:szCs w:val="24"/>
          <w:lang w:val="en-US"/>
        </w:rPr>
        <w:t xml:space="preserve"> during the November to March timeframe</w:t>
      </w:r>
      <w:r>
        <w:rPr>
          <w:rFonts w:cs="Times New Roman"/>
          <w:sz w:val="24"/>
          <w:szCs w:val="24"/>
          <w:lang w:val="en-US"/>
        </w:rPr>
        <w:t>.</w:t>
      </w:r>
      <w:r w:rsidR="00D953CC">
        <w:rPr>
          <w:rFonts w:cs="Times New Roman"/>
          <w:sz w:val="24"/>
          <w:szCs w:val="24"/>
          <w:lang w:val="en-US"/>
        </w:rPr>
        <w:t xml:space="preserve"> See section 3.2.4 for details on how this number was determined.</w:t>
      </w:r>
      <w:r w:rsidRPr="0099279C">
        <w:rPr>
          <w:rFonts w:cs="Times New Roman"/>
          <w:sz w:val="24"/>
          <w:szCs w:val="24"/>
          <w:lang w:val="en-US"/>
        </w:rPr>
        <w:t xml:space="preserve"> </w:t>
      </w:r>
      <w:r w:rsidR="00CB5244" w:rsidRPr="0099279C">
        <w:rPr>
          <w:rFonts w:cs="Times New Roman"/>
          <w:sz w:val="24"/>
          <w:szCs w:val="24"/>
          <w:lang w:val="en-US"/>
        </w:rPr>
        <w:t xml:space="preserve">The results </w:t>
      </w:r>
      <w:r w:rsidR="00B3725C" w:rsidRPr="0099279C">
        <w:rPr>
          <w:rFonts w:cs="Times New Roman"/>
          <w:sz w:val="24"/>
          <w:szCs w:val="24"/>
          <w:lang w:val="en-US"/>
        </w:rPr>
        <w:t>are</w:t>
      </w:r>
      <w:r w:rsidR="00CB5244" w:rsidRPr="0099279C">
        <w:rPr>
          <w:rFonts w:cs="Times New Roman"/>
          <w:sz w:val="24"/>
          <w:szCs w:val="24"/>
          <w:lang w:val="en-US"/>
        </w:rPr>
        <w:t xml:space="preserve"> used to determine </w:t>
      </w:r>
      <w:r w:rsidR="00EC023D" w:rsidRPr="0099279C">
        <w:rPr>
          <w:rFonts w:cs="Times New Roman"/>
          <w:sz w:val="24"/>
          <w:szCs w:val="24"/>
          <w:lang w:val="en-US"/>
        </w:rPr>
        <w:t>percent</w:t>
      </w:r>
      <w:r w:rsidR="00CB5244" w:rsidRPr="0099279C">
        <w:rPr>
          <w:rFonts w:cs="Times New Roman"/>
          <w:sz w:val="24"/>
          <w:szCs w:val="24"/>
          <w:lang w:val="en-US"/>
        </w:rPr>
        <w:t xml:space="preserve"> mortality. To determine expected number of dead gulls from application</w:t>
      </w:r>
      <w:r>
        <w:rPr>
          <w:rFonts w:cs="Times New Roman"/>
          <w:sz w:val="24"/>
          <w:szCs w:val="24"/>
          <w:lang w:val="en-US"/>
        </w:rPr>
        <w:t>s</w:t>
      </w:r>
      <w:r w:rsidR="00CB5244" w:rsidRPr="0099279C">
        <w:rPr>
          <w:rFonts w:cs="Times New Roman"/>
          <w:sz w:val="24"/>
          <w:szCs w:val="24"/>
          <w:lang w:val="en-US"/>
        </w:rPr>
        <w:t xml:space="preserve"> of </w:t>
      </w:r>
      <w:r>
        <w:rPr>
          <w:rFonts w:cs="Times New Roman"/>
          <w:sz w:val="24"/>
          <w:szCs w:val="24"/>
          <w:lang w:val="en-US"/>
        </w:rPr>
        <w:t>rodenticide</w:t>
      </w:r>
      <w:r w:rsidR="00CB5244" w:rsidRPr="0099279C">
        <w:rPr>
          <w:rFonts w:cs="Times New Roman"/>
          <w:sz w:val="24"/>
          <w:szCs w:val="24"/>
          <w:lang w:val="en-US"/>
        </w:rPr>
        <w:t xml:space="preserve">, </w:t>
      </w:r>
      <w:r w:rsidR="00EC023D" w:rsidRPr="0099279C">
        <w:rPr>
          <w:rFonts w:cs="Times New Roman"/>
          <w:sz w:val="24"/>
          <w:szCs w:val="24"/>
          <w:lang w:val="en-US"/>
        </w:rPr>
        <w:t>percent</w:t>
      </w:r>
      <w:r w:rsidR="00CB5244" w:rsidRPr="0099279C">
        <w:rPr>
          <w:rFonts w:cs="Times New Roman"/>
          <w:sz w:val="24"/>
          <w:szCs w:val="24"/>
          <w:lang w:val="en-US"/>
        </w:rPr>
        <w:t xml:space="preserve"> mortality is multiplied by the </w:t>
      </w:r>
      <w:r>
        <w:rPr>
          <w:rFonts w:cs="Times New Roman"/>
          <w:sz w:val="24"/>
          <w:szCs w:val="24"/>
          <w:lang w:val="en-US"/>
        </w:rPr>
        <w:t>maximum</w:t>
      </w:r>
      <w:r w:rsidRPr="0099279C">
        <w:rPr>
          <w:rFonts w:cs="Times New Roman"/>
          <w:sz w:val="24"/>
          <w:szCs w:val="24"/>
          <w:lang w:val="en-US"/>
        </w:rPr>
        <w:t xml:space="preserve"> </w:t>
      </w:r>
      <w:r w:rsidR="00CB5244" w:rsidRPr="0099279C">
        <w:rPr>
          <w:rFonts w:cs="Times New Roman"/>
          <w:sz w:val="24"/>
          <w:szCs w:val="24"/>
          <w:lang w:val="en-US"/>
        </w:rPr>
        <w:t>number of gulls</w:t>
      </w:r>
      <w:r w:rsidR="00BD231C" w:rsidRPr="0099279C">
        <w:rPr>
          <w:rFonts w:cs="Times New Roman"/>
          <w:sz w:val="24"/>
          <w:szCs w:val="24"/>
          <w:lang w:val="en-US"/>
        </w:rPr>
        <w:t xml:space="preserve"> on </w:t>
      </w:r>
      <w:r w:rsidR="00BE7C91">
        <w:rPr>
          <w:rFonts w:cs="Times New Roman"/>
          <w:sz w:val="24"/>
          <w:szCs w:val="24"/>
          <w:lang w:val="en-US"/>
        </w:rPr>
        <w:t>SFI</w:t>
      </w:r>
      <w:r w:rsidR="00BD231C" w:rsidRPr="0099279C">
        <w:rPr>
          <w:rFonts w:cs="Times New Roman"/>
          <w:sz w:val="24"/>
          <w:szCs w:val="24"/>
          <w:lang w:val="en-US"/>
        </w:rPr>
        <w:t xml:space="preserve"> </w:t>
      </w:r>
      <w:r w:rsidR="00CB5244" w:rsidRPr="0099279C">
        <w:rPr>
          <w:rFonts w:cs="Times New Roman"/>
          <w:sz w:val="24"/>
          <w:szCs w:val="24"/>
          <w:lang w:val="en-US"/>
        </w:rPr>
        <w:t xml:space="preserve">in </w:t>
      </w:r>
      <w:r w:rsidR="000F56A1">
        <w:rPr>
          <w:rFonts w:cs="Times New Roman"/>
          <w:sz w:val="24"/>
          <w:szCs w:val="24"/>
          <w:lang w:val="en-US"/>
        </w:rPr>
        <w:t xml:space="preserve">the </w:t>
      </w:r>
      <w:r w:rsidR="00CB5244" w:rsidRPr="0099279C">
        <w:rPr>
          <w:rFonts w:cs="Times New Roman"/>
          <w:sz w:val="24"/>
          <w:szCs w:val="24"/>
          <w:lang w:val="en-US"/>
        </w:rPr>
        <w:t xml:space="preserve">November </w:t>
      </w:r>
      <w:r w:rsidR="000F56A1">
        <w:rPr>
          <w:rFonts w:cs="Times New Roman"/>
          <w:sz w:val="24"/>
          <w:szCs w:val="24"/>
          <w:lang w:val="en-US"/>
        </w:rPr>
        <w:t>to</w:t>
      </w:r>
      <w:r w:rsidR="000F56A1" w:rsidRPr="0099279C">
        <w:rPr>
          <w:rFonts w:cs="Times New Roman"/>
          <w:sz w:val="24"/>
          <w:szCs w:val="24"/>
          <w:lang w:val="en-US"/>
        </w:rPr>
        <w:t xml:space="preserve"> </w:t>
      </w:r>
      <w:r w:rsidR="000F56A1">
        <w:rPr>
          <w:rFonts w:cs="Times New Roman"/>
          <w:sz w:val="24"/>
          <w:szCs w:val="24"/>
          <w:lang w:val="en-US"/>
        </w:rPr>
        <w:t>March timeframe</w:t>
      </w:r>
      <w:r w:rsidR="0093579E">
        <w:rPr>
          <w:rFonts w:cs="Times New Roman"/>
          <w:sz w:val="24"/>
          <w:szCs w:val="24"/>
          <w:lang w:val="en-US"/>
        </w:rPr>
        <w:t xml:space="preserve">, assuming </w:t>
      </w:r>
      <w:r w:rsidR="00D737D8">
        <w:rPr>
          <w:rFonts w:cs="Times New Roman"/>
          <w:sz w:val="24"/>
          <w:szCs w:val="24"/>
          <w:lang w:val="en-US"/>
        </w:rPr>
        <w:t xml:space="preserve">an </w:t>
      </w:r>
      <w:r w:rsidR="00D737D8" w:rsidRPr="0099279C">
        <w:rPr>
          <w:rFonts w:cs="Times New Roman"/>
          <w:sz w:val="24"/>
          <w:szCs w:val="24"/>
          <w:lang w:val="en-US"/>
        </w:rPr>
        <w:t>initial</w:t>
      </w:r>
      <w:r>
        <w:rPr>
          <w:rFonts w:cs="Times New Roman"/>
          <w:sz w:val="24"/>
          <w:szCs w:val="24"/>
          <w:lang w:val="en-US"/>
        </w:rPr>
        <w:t xml:space="preserve"> </w:t>
      </w:r>
      <w:r w:rsidR="00CB5244" w:rsidRPr="0099279C">
        <w:rPr>
          <w:rFonts w:cs="Times New Roman"/>
          <w:sz w:val="24"/>
          <w:szCs w:val="24"/>
          <w:lang w:val="en-US"/>
        </w:rPr>
        <w:t xml:space="preserve">application </w:t>
      </w:r>
      <w:r w:rsidR="00D737D8">
        <w:rPr>
          <w:rFonts w:cs="Times New Roman"/>
          <w:sz w:val="24"/>
          <w:szCs w:val="24"/>
          <w:lang w:val="en-US"/>
        </w:rPr>
        <w:t xml:space="preserve">in </w:t>
      </w:r>
      <w:r w:rsidR="00D737D8" w:rsidRPr="0099279C">
        <w:rPr>
          <w:rFonts w:cs="Times New Roman"/>
          <w:sz w:val="24"/>
          <w:szCs w:val="24"/>
          <w:lang w:val="en-US"/>
        </w:rPr>
        <w:t>the</w:t>
      </w:r>
      <w:r w:rsidR="0093579E">
        <w:rPr>
          <w:rFonts w:cs="Times New Roman"/>
          <w:sz w:val="24"/>
          <w:szCs w:val="24"/>
          <w:lang w:val="en-US"/>
        </w:rPr>
        <w:t xml:space="preserve"> month of </w:t>
      </w:r>
      <w:r w:rsidR="00CB5244" w:rsidRPr="0099279C">
        <w:rPr>
          <w:rFonts w:cs="Times New Roman"/>
          <w:sz w:val="24"/>
          <w:szCs w:val="24"/>
          <w:lang w:val="en-US"/>
        </w:rPr>
        <w:t>November</w:t>
      </w:r>
      <w:r>
        <w:rPr>
          <w:rFonts w:cs="Times New Roman"/>
          <w:sz w:val="24"/>
          <w:szCs w:val="24"/>
          <w:lang w:val="en-US"/>
        </w:rPr>
        <w:t xml:space="preserve"> or December</w:t>
      </w:r>
      <w:r w:rsidR="00CB5244" w:rsidRPr="0099279C">
        <w:rPr>
          <w:rFonts w:cs="Times New Roman"/>
          <w:sz w:val="24"/>
          <w:szCs w:val="24"/>
          <w:lang w:val="en-US"/>
        </w:rPr>
        <w:t>)</w:t>
      </w:r>
      <w:r w:rsidR="00BD231C" w:rsidRPr="0099279C">
        <w:rPr>
          <w:rFonts w:cs="Times New Roman"/>
          <w:sz w:val="24"/>
          <w:szCs w:val="24"/>
          <w:lang w:val="en-US"/>
        </w:rPr>
        <w:t xml:space="preserve">. </w:t>
      </w:r>
    </w:p>
    <w:p w:rsidR="005676B9" w:rsidRDefault="000F56A1" w:rsidP="00BD231C">
      <w:pPr>
        <w:rPr>
          <w:rFonts w:cs="Times New Roman"/>
          <w:sz w:val="24"/>
          <w:szCs w:val="24"/>
          <w:lang w:val="en-US"/>
        </w:rPr>
      </w:pPr>
      <w:r>
        <w:rPr>
          <w:rFonts w:cs="Times New Roman"/>
          <w:sz w:val="24"/>
          <w:szCs w:val="24"/>
          <w:lang w:val="en-US"/>
        </w:rPr>
        <w:t>E</w:t>
      </w:r>
      <w:r w:rsidR="00BD231C" w:rsidRPr="0099279C">
        <w:rPr>
          <w:rFonts w:cs="Times New Roman"/>
          <w:sz w:val="24"/>
          <w:szCs w:val="24"/>
          <w:lang w:val="en-US"/>
        </w:rPr>
        <w:t xml:space="preserve">ach </w:t>
      </w:r>
      <w:r w:rsidR="005676B9">
        <w:rPr>
          <w:rFonts w:cs="Times New Roman"/>
          <w:sz w:val="24"/>
          <w:szCs w:val="24"/>
          <w:lang w:val="en-US"/>
        </w:rPr>
        <w:t>simul</w:t>
      </w:r>
      <w:r w:rsidR="005676B9" w:rsidRPr="0099279C">
        <w:rPr>
          <w:rFonts w:cs="Times New Roman"/>
          <w:sz w:val="24"/>
          <w:szCs w:val="24"/>
          <w:lang w:val="en-US"/>
        </w:rPr>
        <w:t xml:space="preserve">ation </w:t>
      </w:r>
      <w:r w:rsidR="00B3725C" w:rsidRPr="0099279C">
        <w:rPr>
          <w:rFonts w:cs="Times New Roman"/>
          <w:sz w:val="24"/>
          <w:szCs w:val="24"/>
          <w:lang w:val="en-US"/>
        </w:rPr>
        <w:t xml:space="preserve">of the </w:t>
      </w:r>
      <w:r w:rsidR="00BD231C" w:rsidRPr="0099279C">
        <w:rPr>
          <w:rFonts w:cs="Times New Roman"/>
          <w:sz w:val="24"/>
          <w:szCs w:val="24"/>
          <w:lang w:val="en-US"/>
        </w:rPr>
        <w:t>model determines the fate of a western gull</w:t>
      </w:r>
      <w:r>
        <w:rPr>
          <w:rFonts w:cs="Times New Roman"/>
          <w:sz w:val="24"/>
          <w:szCs w:val="24"/>
          <w:lang w:val="en-US"/>
        </w:rPr>
        <w:t xml:space="preserve"> (Figure 3-1)</w:t>
      </w:r>
      <w:r w:rsidR="00BD231C" w:rsidRPr="0099279C">
        <w:rPr>
          <w:rFonts w:cs="Times New Roman"/>
          <w:sz w:val="24"/>
          <w:szCs w:val="24"/>
          <w:lang w:val="en-US"/>
        </w:rPr>
        <w:t xml:space="preserve">. </w:t>
      </w:r>
      <w:r>
        <w:rPr>
          <w:rFonts w:cs="Times New Roman"/>
          <w:sz w:val="24"/>
          <w:szCs w:val="24"/>
          <w:lang w:val="en-US"/>
        </w:rPr>
        <w:t xml:space="preserve">At the outset of </w:t>
      </w:r>
      <w:r w:rsidR="005676B9">
        <w:rPr>
          <w:rFonts w:cs="Times New Roman"/>
          <w:sz w:val="24"/>
          <w:szCs w:val="24"/>
          <w:lang w:val="en-US"/>
        </w:rPr>
        <w:t>a simulation</w:t>
      </w:r>
      <w:r>
        <w:rPr>
          <w:rFonts w:cs="Times New Roman"/>
          <w:sz w:val="24"/>
          <w:szCs w:val="24"/>
          <w:lang w:val="en-US"/>
        </w:rPr>
        <w:t xml:space="preserve">, the characteristics of the gull are randomly chosen (i.e., sex, body weight, life stage). </w:t>
      </w:r>
      <w:r w:rsidR="00205FD6">
        <w:rPr>
          <w:rFonts w:cs="Times New Roman"/>
          <w:sz w:val="24"/>
          <w:szCs w:val="24"/>
          <w:lang w:val="en-US"/>
        </w:rPr>
        <w:t xml:space="preserve">At the same time, the model determines whether the gull will be present on SFI to forage on pellets and/or mice, based on the </w:t>
      </w:r>
      <w:r w:rsidR="0003657A">
        <w:rPr>
          <w:rFonts w:cs="Times New Roman"/>
          <w:sz w:val="24"/>
          <w:szCs w:val="24"/>
          <w:lang w:val="en-US"/>
        </w:rPr>
        <w:t xml:space="preserve">expected </w:t>
      </w:r>
      <w:r w:rsidR="00205FD6">
        <w:rPr>
          <w:rFonts w:cs="Times New Roman"/>
          <w:sz w:val="24"/>
          <w:szCs w:val="24"/>
          <w:lang w:val="en-US"/>
        </w:rPr>
        <w:t xml:space="preserve">number of gulls each day over time. As a mitigation measure, gull hazing would be implemented as part of the mouse eradication to reduce the number of gulls on SFI immediately following bait application. Thus, the probability of a gull being present was determined based on the selected value for expected hazing success. </w:t>
      </w:r>
      <w:r w:rsidR="005676B9">
        <w:rPr>
          <w:rFonts w:cs="Times New Roman"/>
          <w:sz w:val="24"/>
          <w:szCs w:val="24"/>
          <w:lang w:val="en-US"/>
        </w:rPr>
        <w:t xml:space="preserve">The probability of hazing success is entered in a binomial distribution with a sample size of one to determine if the gull will be present to forage by random chance. The model assumes that hazing will occur each day and that gulls </w:t>
      </w:r>
      <w:r w:rsidR="00431BE6">
        <w:rPr>
          <w:rFonts w:cs="Times New Roman"/>
          <w:sz w:val="24"/>
          <w:szCs w:val="24"/>
          <w:lang w:val="en-US"/>
        </w:rPr>
        <w:t xml:space="preserve">responsive </w:t>
      </w:r>
      <w:r w:rsidR="005676B9">
        <w:rPr>
          <w:rFonts w:cs="Times New Roman"/>
          <w:sz w:val="24"/>
          <w:szCs w:val="24"/>
          <w:lang w:val="en-US"/>
        </w:rPr>
        <w:t xml:space="preserve">to hazing will be absent throughout the 90-day exposure duration. Gulls </w:t>
      </w:r>
      <w:r w:rsidR="00431BE6">
        <w:rPr>
          <w:rFonts w:cs="Times New Roman"/>
          <w:sz w:val="24"/>
          <w:szCs w:val="24"/>
          <w:lang w:val="en-US"/>
        </w:rPr>
        <w:t xml:space="preserve">not responsive </w:t>
      </w:r>
      <w:r w:rsidR="005676B9">
        <w:rPr>
          <w:rFonts w:cs="Times New Roman"/>
          <w:sz w:val="24"/>
          <w:szCs w:val="24"/>
          <w:lang w:val="en-US"/>
        </w:rPr>
        <w:t xml:space="preserve">to hazing will be present each day to forage on </w:t>
      </w:r>
      <w:r w:rsidR="00BE7C91">
        <w:rPr>
          <w:rFonts w:cs="Times New Roman"/>
          <w:sz w:val="24"/>
          <w:szCs w:val="24"/>
          <w:lang w:val="en-US"/>
        </w:rPr>
        <w:t>SFI</w:t>
      </w:r>
      <w:r w:rsidR="005676B9">
        <w:rPr>
          <w:rFonts w:cs="Times New Roman"/>
          <w:sz w:val="24"/>
          <w:szCs w:val="24"/>
          <w:lang w:val="en-US"/>
        </w:rPr>
        <w:t>.</w:t>
      </w:r>
    </w:p>
    <w:p w:rsidR="005676B9" w:rsidRDefault="003B0F11" w:rsidP="00BD231C">
      <w:pPr>
        <w:rPr>
          <w:rFonts w:cs="Times New Roman"/>
          <w:sz w:val="24"/>
          <w:szCs w:val="24"/>
          <w:lang w:val="en-US"/>
        </w:rPr>
      </w:pPr>
      <w:r>
        <w:rPr>
          <w:rFonts w:cs="Times New Roman"/>
          <w:sz w:val="24"/>
          <w:szCs w:val="24"/>
          <w:lang w:val="en-US"/>
        </w:rPr>
        <w:t xml:space="preserve">Few </w:t>
      </w:r>
      <w:r w:rsidR="005676B9">
        <w:rPr>
          <w:rFonts w:cs="Times New Roman"/>
          <w:sz w:val="24"/>
          <w:szCs w:val="24"/>
          <w:lang w:val="en-US"/>
        </w:rPr>
        <w:t xml:space="preserve">gulls </w:t>
      </w:r>
      <w:r>
        <w:rPr>
          <w:rFonts w:cs="Times New Roman"/>
          <w:sz w:val="24"/>
          <w:szCs w:val="24"/>
          <w:lang w:val="en-US"/>
        </w:rPr>
        <w:t>would</w:t>
      </w:r>
      <w:r w:rsidR="005676B9">
        <w:rPr>
          <w:rFonts w:cs="Times New Roman"/>
          <w:sz w:val="24"/>
          <w:szCs w:val="24"/>
          <w:lang w:val="en-US"/>
        </w:rPr>
        <w:t xml:space="preserve"> be present on </w:t>
      </w:r>
      <w:r w:rsidR="00BE7C91">
        <w:rPr>
          <w:rFonts w:cs="Times New Roman"/>
          <w:sz w:val="24"/>
          <w:szCs w:val="24"/>
          <w:lang w:val="en-US"/>
        </w:rPr>
        <w:t>SFI</w:t>
      </w:r>
      <w:r w:rsidR="005676B9">
        <w:rPr>
          <w:rFonts w:cs="Times New Roman"/>
          <w:sz w:val="24"/>
          <w:szCs w:val="24"/>
          <w:lang w:val="en-US"/>
        </w:rPr>
        <w:t xml:space="preserve"> if </w:t>
      </w:r>
      <w:r w:rsidR="003F7ED0">
        <w:rPr>
          <w:rFonts w:cs="Times New Roman"/>
          <w:sz w:val="24"/>
          <w:szCs w:val="24"/>
          <w:lang w:val="en-US"/>
        </w:rPr>
        <w:t xml:space="preserve">the </w:t>
      </w:r>
      <w:r w:rsidR="005676B9">
        <w:rPr>
          <w:rFonts w:cs="Times New Roman"/>
          <w:sz w:val="24"/>
          <w:szCs w:val="24"/>
          <w:lang w:val="en-US"/>
        </w:rPr>
        <w:t>initial application occurs in early to mid</w:t>
      </w:r>
      <w:r w:rsidR="00C036FA">
        <w:rPr>
          <w:rFonts w:cs="Times New Roman"/>
          <w:sz w:val="24"/>
          <w:szCs w:val="24"/>
          <w:lang w:val="en-US"/>
        </w:rPr>
        <w:t>-</w:t>
      </w:r>
      <w:r w:rsidR="005676B9">
        <w:rPr>
          <w:rFonts w:cs="Times New Roman"/>
          <w:sz w:val="24"/>
          <w:szCs w:val="24"/>
          <w:lang w:val="en-US"/>
        </w:rPr>
        <w:t>November</w:t>
      </w:r>
      <w:r w:rsidR="00C036FA">
        <w:rPr>
          <w:rFonts w:cs="Times New Roman"/>
          <w:sz w:val="24"/>
          <w:szCs w:val="24"/>
          <w:lang w:val="en-US"/>
        </w:rPr>
        <w:t>, based on</w:t>
      </w:r>
      <w:r w:rsidR="003F7ED0">
        <w:rPr>
          <w:rFonts w:cs="Times New Roman"/>
          <w:sz w:val="24"/>
          <w:szCs w:val="24"/>
          <w:lang w:val="en-US"/>
        </w:rPr>
        <w:t xml:space="preserve"> PRBO data</w:t>
      </w:r>
      <w:r w:rsidR="002F2B58">
        <w:rPr>
          <w:rFonts w:cs="Times New Roman"/>
          <w:sz w:val="24"/>
          <w:szCs w:val="24"/>
          <w:lang w:val="en-US"/>
        </w:rPr>
        <w:t>.</w:t>
      </w:r>
      <w:r w:rsidR="005676B9">
        <w:rPr>
          <w:rFonts w:cs="Times New Roman"/>
          <w:sz w:val="24"/>
          <w:szCs w:val="24"/>
          <w:lang w:val="en-US"/>
        </w:rPr>
        <w:t xml:space="preserve"> Thus, for each gull, a starting date for its appearance on the island must be determined. This is done by randomly selecting from a binomial distribution for </w:t>
      </w:r>
      <w:r w:rsidR="005C08BC">
        <w:rPr>
          <w:rFonts w:cs="Times New Roman"/>
          <w:sz w:val="24"/>
          <w:szCs w:val="24"/>
          <w:lang w:val="en-US"/>
        </w:rPr>
        <w:t xml:space="preserve">each week that has been parameterized with a probability equal to the fraction of the maximum number of gulls present during that time step. Once a gull appears on </w:t>
      </w:r>
      <w:r w:rsidR="00BE7C91">
        <w:rPr>
          <w:rFonts w:cs="Times New Roman"/>
          <w:sz w:val="24"/>
          <w:szCs w:val="24"/>
          <w:lang w:val="en-US"/>
        </w:rPr>
        <w:t>SFI</w:t>
      </w:r>
      <w:r w:rsidR="005C08BC">
        <w:rPr>
          <w:rFonts w:cs="Times New Roman"/>
          <w:sz w:val="24"/>
          <w:szCs w:val="24"/>
          <w:lang w:val="en-US"/>
        </w:rPr>
        <w:t xml:space="preserve"> by random chance, it remains </w:t>
      </w:r>
      <w:r w:rsidR="00431BE6">
        <w:rPr>
          <w:rFonts w:cs="Times New Roman"/>
          <w:sz w:val="24"/>
          <w:szCs w:val="24"/>
          <w:lang w:val="en-US"/>
        </w:rPr>
        <w:t xml:space="preserve">in the area </w:t>
      </w:r>
      <w:r w:rsidR="005C08BC">
        <w:rPr>
          <w:rFonts w:cs="Times New Roman"/>
          <w:sz w:val="24"/>
          <w:szCs w:val="24"/>
          <w:lang w:val="en-US"/>
        </w:rPr>
        <w:t>until at least mid</w:t>
      </w:r>
      <w:r w:rsidR="00C036FA">
        <w:rPr>
          <w:rFonts w:cs="Times New Roman"/>
          <w:sz w:val="24"/>
          <w:szCs w:val="24"/>
          <w:lang w:val="en-US"/>
        </w:rPr>
        <w:t>-</w:t>
      </w:r>
      <w:r w:rsidR="005C08BC">
        <w:rPr>
          <w:rFonts w:cs="Times New Roman"/>
          <w:sz w:val="24"/>
          <w:szCs w:val="24"/>
          <w:lang w:val="en-US"/>
        </w:rPr>
        <w:t>February</w:t>
      </w:r>
      <w:r>
        <w:rPr>
          <w:rFonts w:cs="Times New Roman"/>
          <w:sz w:val="24"/>
          <w:szCs w:val="24"/>
          <w:lang w:val="en-US"/>
        </w:rPr>
        <w:t>,</w:t>
      </w:r>
      <w:r w:rsidR="00431BE6">
        <w:rPr>
          <w:rFonts w:cs="Times New Roman"/>
          <w:sz w:val="24"/>
          <w:szCs w:val="24"/>
          <w:lang w:val="en-US"/>
        </w:rPr>
        <w:t xml:space="preserve"> though </w:t>
      </w:r>
      <w:r>
        <w:rPr>
          <w:rFonts w:cs="Times New Roman"/>
          <w:sz w:val="24"/>
          <w:szCs w:val="24"/>
          <w:lang w:val="en-US"/>
        </w:rPr>
        <w:t xml:space="preserve">the model assumes that </w:t>
      </w:r>
      <w:r w:rsidR="00431BE6">
        <w:rPr>
          <w:rFonts w:cs="Times New Roman"/>
          <w:sz w:val="24"/>
          <w:szCs w:val="24"/>
          <w:lang w:val="en-US"/>
        </w:rPr>
        <w:t>hazed gulls will not forage on the island</w:t>
      </w:r>
      <w:r w:rsidR="005537BF">
        <w:rPr>
          <w:rFonts w:cs="Times New Roman"/>
          <w:sz w:val="24"/>
          <w:szCs w:val="24"/>
          <w:lang w:val="en-US"/>
        </w:rPr>
        <w:t>.</w:t>
      </w:r>
      <w:r w:rsidR="005C08BC">
        <w:rPr>
          <w:rFonts w:cs="Times New Roman"/>
          <w:sz w:val="24"/>
          <w:szCs w:val="24"/>
          <w:lang w:val="en-US"/>
        </w:rPr>
        <w:t xml:space="preserve"> </w:t>
      </w:r>
      <w:r w:rsidR="005537BF">
        <w:rPr>
          <w:rFonts w:cs="Times New Roman"/>
          <w:sz w:val="24"/>
          <w:szCs w:val="24"/>
          <w:lang w:val="en-US"/>
        </w:rPr>
        <w:t>T</w:t>
      </w:r>
      <w:r w:rsidR="005C08BC">
        <w:rPr>
          <w:rFonts w:cs="Times New Roman"/>
          <w:sz w:val="24"/>
          <w:szCs w:val="24"/>
          <w:lang w:val="en-US"/>
        </w:rPr>
        <w:t xml:space="preserve">he probability of </w:t>
      </w:r>
      <w:r w:rsidR="005537BF">
        <w:rPr>
          <w:rFonts w:cs="Times New Roman"/>
          <w:sz w:val="24"/>
          <w:szCs w:val="24"/>
          <w:lang w:val="en-US"/>
        </w:rPr>
        <w:t>the gull leaving after mid</w:t>
      </w:r>
      <w:r w:rsidR="00C036FA">
        <w:rPr>
          <w:rFonts w:cs="Times New Roman"/>
          <w:sz w:val="24"/>
          <w:szCs w:val="24"/>
          <w:lang w:val="en-US"/>
        </w:rPr>
        <w:t>-</w:t>
      </w:r>
      <w:r w:rsidR="005537BF">
        <w:rPr>
          <w:rFonts w:cs="Times New Roman"/>
          <w:sz w:val="24"/>
          <w:szCs w:val="24"/>
          <w:lang w:val="en-US"/>
        </w:rPr>
        <w:t>February is</w:t>
      </w:r>
      <w:r w:rsidR="005C08BC">
        <w:rPr>
          <w:rFonts w:cs="Times New Roman"/>
          <w:sz w:val="24"/>
          <w:szCs w:val="24"/>
          <w:lang w:val="en-US"/>
        </w:rPr>
        <w:t xml:space="preserve"> a function of the overall population remaining relative to the maximum number of gulls present on </w:t>
      </w:r>
      <w:r w:rsidR="00BE7C91">
        <w:rPr>
          <w:rFonts w:cs="Times New Roman"/>
          <w:sz w:val="24"/>
          <w:szCs w:val="24"/>
          <w:lang w:val="en-US"/>
        </w:rPr>
        <w:t>SFI</w:t>
      </w:r>
      <w:r w:rsidR="005C08BC">
        <w:rPr>
          <w:rFonts w:cs="Times New Roman"/>
          <w:sz w:val="24"/>
          <w:szCs w:val="24"/>
          <w:lang w:val="en-US"/>
        </w:rPr>
        <w:t xml:space="preserve"> in the fall and winter.</w:t>
      </w:r>
    </w:p>
    <w:p w:rsidR="00167C13" w:rsidRDefault="000F56A1" w:rsidP="00BD231C">
      <w:pPr>
        <w:rPr>
          <w:rFonts w:cs="Times New Roman"/>
          <w:sz w:val="24"/>
          <w:szCs w:val="24"/>
          <w:lang w:val="en-US"/>
        </w:rPr>
      </w:pPr>
      <w:r>
        <w:rPr>
          <w:rFonts w:cs="Times New Roman"/>
          <w:sz w:val="24"/>
          <w:szCs w:val="24"/>
          <w:lang w:val="en-US"/>
        </w:rPr>
        <w:t>At time zero (day of initial application), pellet availability in the environment is a function of the initial application rate.</w:t>
      </w:r>
      <w:r w:rsidRPr="0099279C">
        <w:rPr>
          <w:rFonts w:cs="Times New Roman"/>
          <w:sz w:val="24"/>
          <w:szCs w:val="24"/>
          <w:lang w:val="en-US"/>
        </w:rPr>
        <w:t xml:space="preserve"> </w:t>
      </w:r>
      <w:r>
        <w:rPr>
          <w:rFonts w:cs="Times New Roman"/>
          <w:sz w:val="24"/>
          <w:szCs w:val="24"/>
          <w:lang w:val="en-US"/>
        </w:rPr>
        <w:t xml:space="preserve">If a lag time is specified before </w:t>
      </w:r>
      <w:r w:rsidR="00431BE6">
        <w:rPr>
          <w:rFonts w:cs="Times New Roman"/>
          <w:sz w:val="24"/>
          <w:szCs w:val="24"/>
          <w:lang w:val="en-US"/>
        </w:rPr>
        <w:t xml:space="preserve">unhazed </w:t>
      </w:r>
      <w:r>
        <w:rPr>
          <w:rFonts w:cs="Times New Roman"/>
          <w:sz w:val="24"/>
          <w:szCs w:val="24"/>
          <w:lang w:val="en-US"/>
        </w:rPr>
        <w:t xml:space="preserve">gulls begin consuming pellets (data collected at </w:t>
      </w:r>
      <w:r w:rsidR="00BE7C91">
        <w:rPr>
          <w:rFonts w:cs="Times New Roman"/>
          <w:sz w:val="24"/>
          <w:szCs w:val="24"/>
          <w:lang w:val="en-US"/>
        </w:rPr>
        <w:t>SFI</w:t>
      </w:r>
      <w:r>
        <w:rPr>
          <w:rFonts w:cs="Times New Roman"/>
          <w:sz w:val="24"/>
          <w:szCs w:val="24"/>
          <w:lang w:val="en-US"/>
        </w:rPr>
        <w:t xml:space="preserve"> indicate that pellet consumption by gulls is a behavior</w:t>
      </w:r>
      <w:r w:rsidR="00167C13">
        <w:rPr>
          <w:rFonts w:cs="Times New Roman"/>
          <w:sz w:val="24"/>
          <w:szCs w:val="24"/>
          <w:lang w:val="en-US"/>
        </w:rPr>
        <w:t xml:space="preserve"> learned over time</w:t>
      </w:r>
      <w:r>
        <w:rPr>
          <w:rFonts w:cs="Times New Roman"/>
          <w:sz w:val="24"/>
          <w:szCs w:val="24"/>
          <w:lang w:val="en-US"/>
        </w:rPr>
        <w:t xml:space="preserve">), then no consumption takes place on day zero. </w:t>
      </w:r>
      <w:r w:rsidR="00167C13">
        <w:rPr>
          <w:rFonts w:cs="Times New Roman"/>
          <w:sz w:val="24"/>
          <w:szCs w:val="24"/>
          <w:lang w:val="en-US"/>
        </w:rPr>
        <w:t xml:space="preserve">Similarly, mice are not consumed on day zero because they are not normally part of the western gull diet and are only likely to be consumed once they become easy to capture because of rodenticide intoxication. For brodifacoum and diphacinone, there is a lag time of several days before mice exhibit signs of intoxication (Erickson and Urban, 2004; Fisher et al., 2009). </w:t>
      </w:r>
      <w:r w:rsidR="00CC7CDF">
        <w:rPr>
          <w:rFonts w:cs="Times New Roman"/>
          <w:sz w:val="24"/>
          <w:szCs w:val="24"/>
          <w:lang w:val="en-US"/>
        </w:rPr>
        <w:t>Consumption of pellets and mice can begin at the time steps at which the lag times for the primary and secondary routes of exposure expire</w:t>
      </w:r>
      <w:r w:rsidR="005C08BC">
        <w:rPr>
          <w:rFonts w:cs="Times New Roman"/>
          <w:sz w:val="24"/>
          <w:szCs w:val="24"/>
          <w:lang w:val="en-US"/>
        </w:rPr>
        <w:t xml:space="preserve"> assuming that the gull has appeared on </w:t>
      </w:r>
      <w:r w:rsidR="00BE7C91">
        <w:rPr>
          <w:rFonts w:cs="Times New Roman"/>
          <w:sz w:val="24"/>
          <w:szCs w:val="24"/>
          <w:lang w:val="en-US"/>
        </w:rPr>
        <w:t>SFI</w:t>
      </w:r>
      <w:r w:rsidR="005C08BC">
        <w:rPr>
          <w:rFonts w:cs="Times New Roman"/>
          <w:sz w:val="24"/>
          <w:szCs w:val="24"/>
          <w:lang w:val="en-US"/>
        </w:rPr>
        <w:t xml:space="preserve"> (otherwise, there can be no consumption)</w:t>
      </w:r>
      <w:r w:rsidR="00CC7CDF">
        <w:rPr>
          <w:rFonts w:cs="Times New Roman"/>
          <w:sz w:val="24"/>
          <w:szCs w:val="24"/>
          <w:lang w:val="en-US"/>
        </w:rPr>
        <w:t xml:space="preserve">. The number of pellets consumed by </w:t>
      </w:r>
      <w:r w:rsidR="00431BE6">
        <w:rPr>
          <w:rFonts w:cs="Times New Roman"/>
          <w:sz w:val="24"/>
          <w:szCs w:val="24"/>
          <w:lang w:val="en-US"/>
        </w:rPr>
        <w:t xml:space="preserve">an unhazed </w:t>
      </w:r>
      <w:r w:rsidR="00CC7CDF">
        <w:rPr>
          <w:rFonts w:cs="Times New Roman"/>
          <w:sz w:val="24"/>
          <w:szCs w:val="24"/>
          <w:lang w:val="en-US"/>
        </w:rPr>
        <w:t xml:space="preserve">western gull at the initial time step following expiration of the lag time is a function of availability of pellets and probability of the gull consuming pellets. Availability of pellets at any given time step is a function of initial availability (i.e., initial application rate) and the rate at which pellets disappear from the environment (e.g., due to consumption by mice, weathering). Subsequent rodenticide applications </w:t>
      </w:r>
      <w:r w:rsidR="00A7730B">
        <w:rPr>
          <w:rFonts w:cs="Times New Roman"/>
          <w:sz w:val="24"/>
          <w:szCs w:val="24"/>
          <w:lang w:val="en-US"/>
        </w:rPr>
        <w:t xml:space="preserve">increase availability of pellets according to </w:t>
      </w:r>
      <w:r w:rsidR="00431BE6">
        <w:rPr>
          <w:rFonts w:cs="Times New Roman"/>
          <w:sz w:val="24"/>
          <w:szCs w:val="24"/>
          <w:lang w:val="en-US"/>
        </w:rPr>
        <w:t xml:space="preserve">the </w:t>
      </w:r>
      <w:r w:rsidR="00A7730B">
        <w:rPr>
          <w:rFonts w:cs="Times New Roman"/>
          <w:sz w:val="24"/>
          <w:szCs w:val="24"/>
          <w:lang w:val="en-US"/>
        </w:rPr>
        <w:t xml:space="preserve">application rate plus pellets remaining from previous applications. The probability of </w:t>
      </w:r>
      <w:r w:rsidR="00431BE6">
        <w:rPr>
          <w:rFonts w:cs="Times New Roman"/>
          <w:sz w:val="24"/>
          <w:szCs w:val="24"/>
          <w:lang w:val="en-US"/>
        </w:rPr>
        <w:t xml:space="preserve">an unhazed </w:t>
      </w:r>
      <w:r w:rsidR="00A7730B">
        <w:rPr>
          <w:rFonts w:cs="Times New Roman"/>
          <w:sz w:val="24"/>
          <w:szCs w:val="24"/>
          <w:lang w:val="en-US"/>
        </w:rPr>
        <w:t xml:space="preserve">gull consuming pellets is a function of observational data from </w:t>
      </w:r>
      <w:r w:rsidR="00BE7C91">
        <w:rPr>
          <w:rFonts w:cs="Times New Roman"/>
          <w:sz w:val="24"/>
          <w:szCs w:val="24"/>
          <w:lang w:val="en-US"/>
        </w:rPr>
        <w:t>SFI</w:t>
      </w:r>
      <w:r w:rsidR="00A7730B">
        <w:rPr>
          <w:rFonts w:cs="Times New Roman"/>
          <w:sz w:val="24"/>
          <w:szCs w:val="24"/>
          <w:lang w:val="en-US"/>
        </w:rPr>
        <w:t xml:space="preserve"> in 2010 in which the proportion of gulls consuming non-toxic pellets was determined</w:t>
      </w:r>
      <w:r w:rsidR="00696A82">
        <w:rPr>
          <w:rFonts w:cs="Times New Roman"/>
          <w:sz w:val="24"/>
          <w:szCs w:val="24"/>
          <w:lang w:val="en-US"/>
        </w:rPr>
        <w:t xml:space="preserve"> (</w:t>
      </w:r>
      <w:r w:rsidR="00F65518">
        <w:rPr>
          <w:rFonts w:cs="Times New Roman"/>
          <w:sz w:val="24"/>
          <w:szCs w:val="24"/>
          <w:lang w:val="en-US"/>
        </w:rPr>
        <w:t>Grout 2012</w:t>
      </w:r>
      <w:r w:rsidR="00696A82">
        <w:rPr>
          <w:rFonts w:cs="Times New Roman"/>
          <w:sz w:val="24"/>
          <w:szCs w:val="24"/>
          <w:lang w:val="en-US"/>
        </w:rPr>
        <w:t>)</w:t>
      </w:r>
      <w:r w:rsidR="00A7730B">
        <w:rPr>
          <w:rFonts w:cs="Times New Roman"/>
          <w:sz w:val="24"/>
          <w:szCs w:val="24"/>
          <w:lang w:val="en-US"/>
        </w:rPr>
        <w:t xml:space="preserve">. The observed proportion of </w:t>
      </w:r>
      <w:r w:rsidR="00431BE6">
        <w:rPr>
          <w:rFonts w:cs="Times New Roman"/>
          <w:sz w:val="24"/>
          <w:szCs w:val="24"/>
          <w:lang w:val="en-US"/>
        </w:rPr>
        <w:t xml:space="preserve">unhazed </w:t>
      </w:r>
      <w:r w:rsidR="00A7730B">
        <w:rPr>
          <w:rFonts w:cs="Times New Roman"/>
          <w:sz w:val="24"/>
          <w:szCs w:val="24"/>
          <w:lang w:val="en-US"/>
        </w:rPr>
        <w:t xml:space="preserve">gulls consuming pellets is entered in a binomial distribution with a sample size of one to determine by random chance whether that particular gull consumes pellets on the day at which the lag time for consuming pellets expires. An analogous methodology is used to determine whether the </w:t>
      </w:r>
      <w:r w:rsidR="00431BE6">
        <w:rPr>
          <w:rFonts w:cs="Times New Roman"/>
          <w:sz w:val="24"/>
          <w:szCs w:val="24"/>
          <w:lang w:val="en-US"/>
        </w:rPr>
        <w:t xml:space="preserve">unhazed </w:t>
      </w:r>
      <w:r w:rsidR="00A7730B">
        <w:rPr>
          <w:rFonts w:cs="Times New Roman"/>
          <w:sz w:val="24"/>
          <w:szCs w:val="24"/>
          <w:lang w:val="en-US"/>
        </w:rPr>
        <w:t xml:space="preserve">gull will consume mice following expiration of the lag time for consuming mice. </w:t>
      </w:r>
      <w:r w:rsidR="00E37C82">
        <w:rPr>
          <w:rFonts w:cs="Times New Roman"/>
          <w:sz w:val="24"/>
          <w:szCs w:val="24"/>
          <w:lang w:val="en-US"/>
        </w:rPr>
        <w:t>If by random chance pellets and/or mice are consumed at a time step, then the numbers of pellets and/or mice consumed must be determined for the gull of interest. Observational data indicate that once a</w:t>
      </w:r>
      <w:r w:rsidR="00431BE6">
        <w:rPr>
          <w:rFonts w:cs="Times New Roman"/>
          <w:sz w:val="24"/>
          <w:szCs w:val="24"/>
          <w:lang w:val="en-US"/>
        </w:rPr>
        <w:t xml:space="preserve">n unhazed </w:t>
      </w:r>
      <w:r w:rsidR="00E37C82">
        <w:rPr>
          <w:rFonts w:cs="Times New Roman"/>
          <w:sz w:val="24"/>
          <w:szCs w:val="24"/>
          <w:lang w:val="en-US"/>
        </w:rPr>
        <w:t xml:space="preserve">gull learns to consume pellets, it may consume many pellets. To determine number of pellets consumed at a given time step, a value is randomly chosen from a Poisson distribution that has been parameterized to ensure that the maximum number of pellets consumed does not exceed the daily energetics requirements of a western gull. Primary exposure for that time step is then a function of </w:t>
      </w:r>
      <w:r w:rsidR="009614E9">
        <w:rPr>
          <w:rFonts w:cs="Times New Roman"/>
          <w:sz w:val="24"/>
          <w:szCs w:val="24"/>
          <w:lang w:val="en-US"/>
        </w:rPr>
        <w:t xml:space="preserve">the </w:t>
      </w:r>
      <w:r w:rsidR="00E37C82">
        <w:rPr>
          <w:rFonts w:cs="Times New Roman"/>
          <w:sz w:val="24"/>
          <w:szCs w:val="24"/>
          <w:lang w:val="en-US"/>
        </w:rPr>
        <w:t xml:space="preserve">number of pellets randomly selected multiplied by rodenticide concentration in each pellet. A similar approach is used for secondary exposure except that the number of mice consumed cannot exceed the daily energetic requirements of a western gull given the number of pellets already consumed (i.e., model assumes that pellets are a preferred dietary choice over mice). </w:t>
      </w:r>
      <w:r w:rsidR="009614E9">
        <w:rPr>
          <w:rFonts w:cs="Times New Roman"/>
          <w:sz w:val="24"/>
          <w:szCs w:val="24"/>
          <w:lang w:val="en-US"/>
        </w:rPr>
        <w:t xml:space="preserve">Secondary exposure for that time step is then a function of the number of mice randomly selected multiplied by rodenticide concentration in each mouse. The latter is a randomly chosen value from a lognormal distribution parameterized with measured data from field studies conducted elsewhere. Primary and secondary exposures are summed for each time step to determine total daily intake. </w:t>
      </w:r>
      <w:r w:rsidR="00E37C82">
        <w:rPr>
          <w:rFonts w:cs="Times New Roman"/>
          <w:sz w:val="24"/>
          <w:szCs w:val="24"/>
          <w:lang w:val="en-US"/>
        </w:rPr>
        <w:t xml:space="preserve">As noted above, the tissue concentration </w:t>
      </w:r>
      <w:r w:rsidR="009614E9">
        <w:rPr>
          <w:rFonts w:cs="Times New Roman"/>
          <w:sz w:val="24"/>
          <w:szCs w:val="24"/>
          <w:lang w:val="en-US"/>
        </w:rPr>
        <w:t xml:space="preserve">in the </w:t>
      </w:r>
      <w:r w:rsidR="00431BE6">
        <w:rPr>
          <w:rFonts w:cs="Times New Roman"/>
          <w:sz w:val="24"/>
          <w:szCs w:val="24"/>
          <w:lang w:val="en-US"/>
        </w:rPr>
        <w:t xml:space="preserve">unhazed </w:t>
      </w:r>
      <w:r w:rsidR="009614E9">
        <w:rPr>
          <w:rFonts w:cs="Times New Roman"/>
          <w:sz w:val="24"/>
          <w:szCs w:val="24"/>
          <w:lang w:val="en-US"/>
        </w:rPr>
        <w:t xml:space="preserve">gull </w:t>
      </w:r>
      <w:r w:rsidR="00E37C82">
        <w:rPr>
          <w:rFonts w:cs="Times New Roman"/>
          <w:sz w:val="24"/>
          <w:szCs w:val="24"/>
          <w:lang w:val="en-US"/>
        </w:rPr>
        <w:t>on any given day is the total daily intake for that day plus the tissue concentration remaining from the previous day</w:t>
      </w:r>
      <w:r w:rsidR="009614E9">
        <w:rPr>
          <w:rFonts w:cs="Times New Roman"/>
          <w:sz w:val="24"/>
          <w:szCs w:val="24"/>
          <w:lang w:val="en-US"/>
        </w:rPr>
        <w:t>.</w:t>
      </w:r>
    </w:p>
    <w:p w:rsidR="009614E9" w:rsidRDefault="009614E9" w:rsidP="00BD231C">
      <w:pPr>
        <w:rPr>
          <w:rFonts w:cs="Times New Roman"/>
          <w:sz w:val="24"/>
          <w:szCs w:val="24"/>
          <w:lang w:val="en-US"/>
        </w:rPr>
      </w:pPr>
      <w:r>
        <w:rPr>
          <w:rFonts w:cs="Times New Roman"/>
          <w:sz w:val="24"/>
          <w:szCs w:val="24"/>
          <w:lang w:val="en-US"/>
        </w:rPr>
        <w:t>The availabilities of pellets and mice change over time in the western gull risk model. Subsequent time steps account for the relative availabilities of pellets and mice by assuming that consumption rates are linearly related to availabilities.</w:t>
      </w:r>
      <w:r w:rsidR="00942E87">
        <w:rPr>
          <w:rFonts w:cs="Times New Roman"/>
          <w:sz w:val="24"/>
          <w:szCs w:val="24"/>
          <w:lang w:val="en-US"/>
        </w:rPr>
        <w:t xml:space="preserve"> In the case of pellets, availability declines rapidly after the initial rodenticide application because of consumption by mice, gulls and weathering if a significant rainfall event occurs shortly after application. For subsequent applications, however, pellet availability remains constant until a significant rainfall event occurs</w:t>
      </w:r>
      <w:r w:rsidR="00AB3F10">
        <w:rPr>
          <w:rFonts w:cs="Times New Roman"/>
          <w:sz w:val="24"/>
          <w:szCs w:val="24"/>
          <w:lang w:val="en-US"/>
        </w:rPr>
        <w:t>,</w:t>
      </w:r>
      <w:r w:rsidR="00942E87">
        <w:rPr>
          <w:rFonts w:cs="Times New Roman"/>
          <w:sz w:val="24"/>
          <w:szCs w:val="24"/>
          <w:lang w:val="en-US"/>
        </w:rPr>
        <w:t xml:space="preserve"> which causes the pellets to break down over the next couple of days. In the case of mice, availability declines rapidly from the time they experience symptoms to their death several days to less than two weeks later. After that, mice are not part of the gull diet and thus there is no further secondary exposure.</w:t>
      </w:r>
    </w:p>
    <w:p w:rsidR="00942E87" w:rsidRDefault="00942E87" w:rsidP="00BD231C">
      <w:pPr>
        <w:rPr>
          <w:rFonts w:cs="Times New Roman"/>
          <w:sz w:val="24"/>
          <w:szCs w:val="24"/>
          <w:lang w:val="en-US"/>
        </w:rPr>
      </w:pPr>
      <w:r>
        <w:rPr>
          <w:rFonts w:cs="Times New Roman"/>
          <w:sz w:val="24"/>
          <w:szCs w:val="24"/>
          <w:lang w:val="en-US"/>
        </w:rPr>
        <w:t xml:space="preserve">Once the lag times have expired for consumption of pellets and/or mice, the model assumes </w:t>
      </w:r>
      <w:r w:rsidR="00076970">
        <w:rPr>
          <w:rFonts w:cs="Times New Roman"/>
          <w:sz w:val="24"/>
          <w:szCs w:val="24"/>
          <w:lang w:val="en-US"/>
        </w:rPr>
        <w:t>conditional probabilit</w:t>
      </w:r>
      <w:r w:rsidR="0003657A">
        <w:rPr>
          <w:rFonts w:cs="Times New Roman"/>
          <w:sz w:val="24"/>
          <w:szCs w:val="24"/>
          <w:lang w:val="en-US"/>
        </w:rPr>
        <w:t>ies</w:t>
      </w:r>
      <w:r>
        <w:rPr>
          <w:rFonts w:cs="Times New Roman"/>
          <w:sz w:val="24"/>
          <w:szCs w:val="24"/>
          <w:lang w:val="en-US"/>
        </w:rPr>
        <w:t xml:space="preserve"> for primary and secondary exposure. That is, if a gull consumes pellets by random chance in the preceding time step, then there is an increased probability of consuming pellets in the subsequent time step and vice versa. The same is true for mice. As before, a binomial distribution with a sample size of one is used to determine whether a dietary item is consumed in subsequent time steps.</w:t>
      </w:r>
      <w:r w:rsidR="005676B9">
        <w:rPr>
          <w:rFonts w:cs="Times New Roman"/>
          <w:sz w:val="24"/>
          <w:szCs w:val="24"/>
          <w:lang w:val="en-US"/>
        </w:rPr>
        <w:t xml:space="preserve"> However, the probability entered into the binomial distribution is updated to reflect the </w:t>
      </w:r>
      <w:r w:rsidR="00076970">
        <w:rPr>
          <w:rFonts w:cs="Times New Roman"/>
          <w:sz w:val="24"/>
          <w:szCs w:val="24"/>
          <w:lang w:val="en-US"/>
        </w:rPr>
        <w:t xml:space="preserve">conditional probability </w:t>
      </w:r>
      <w:r w:rsidR="005676B9">
        <w:rPr>
          <w:rFonts w:cs="Times New Roman"/>
          <w:sz w:val="24"/>
          <w:szCs w:val="24"/>
          <w:lang w:val="en-US"/>
        </w:rPr>
        <w:t>coefficient. If a dietary item is consumed in a time step, the number of dietary items consumed is randomly selected from a Poisson distribution as before. However, the randomly chosen value from the Poisson distribution is multiplied by relative availability to account for changing availability over time</w:t>
      </w:r>
      <w:r w:rsidR="005C08BC">
        <w:rPr>
          <w:rFonts w:cs="Times New Roman"/>
          <w:sz w:val="24"/>
          <w:szCs w:val="24"/>
          <w:lang w:val="en-US"/>
        </w:rPr>
        <w:t xml:space="preserve"> for each dietary item</w:t>
      </w:r>
      <w:r w:rsidR="005676B9">
        <w:rPr>
          <w:rFonts w:cs="Times New Roman"/>
          <w:sz w:val="24"/>
          <w:szCs w:val="24"/>
          <w:lang w:val="en-US"/>
        </w:rPr>
        <w:t>.</w:t>
      </w:r>
    </w:p>
    <w:p w:rsidR="005C08BC" w:rsidRDefault="005C08BC" w:rsidP="00BD231C">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BD231C" w:rsidRDefault="00BD231C" w:rsidP="00BD231C">
      <w:pPr>
        <w:rPr>
          <w:rFonts w:cs="Times New Roman"/>
          <w:sz w:val="24"/>
          <w:szCs w:val="24"/>
          <w:lang w:val="en-US"/>
        </w:rPr>
      </w:pPr>
      <w:r w:rsidRPr="0099279C">
        <w:rPr>
          <w:rFonts w:cs="Times New Roman"/>
          <w:sz w:val="24"/>
          <w:szCs w:val="24"/>
          <w:lang w:val="en-US"/>
        </w:rPr>
        <w:t xml:space="preserve">The </w:t>
      </w:r>
      <w:r w:rsidR="00167C13">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r w:rsidR="00167C13">
        <w:rPr>
          <w:rFonts w:cs="Times New Roman"/>
          <w:sz w:val="24"/>
          <w:szCs w:val="24"/>
          <w:lang w:val="en-US"/>
        </w:rPr>
        <w:t xml:space="preserve">gavage </w:t>
      </w:r>
      <w:r w:rsidRPr="0099279C">
        <w:rPr>
          <w:rFonts w:cs="Times New Roman"/>
          <w:sz w:val="24"/>
          <w:szCs w:val="24"/>
          <w:lang w:val="en-US"/>
        </w:rPr>
        <w:t xml:space="preserve">dose </w:t>
      </w:r>
      <w:r w:rsidR="00167C13">
        <w:rPr>
          <w:rFonts w:cs="Times New Roman"/>
          <w:sz w:val="24"/>
          <w:szCs w:val="24"/>
          <w:lang w:val="en-US"/>
        </w:rPr>
        <w:t xml:space="preserve">(in units of mg ai/kg </w:t>
      </w:r>
      <w:proofErr w:type="gramStart"/>
      <w:r w:rsidR="00167C13">
        <w:rPr>
          <w:rFonts w:cs="Times New Roman"/>
          <w:sz w:val="24"/>
          <w:szCs w:val="24"/>
          <w:lang w:val="en-US"/>
        </w:rPr>
        <w:t>bw</w:t>
      </w:r>
      <w:proofErr w:type="gramEnd"/>
      <w:r w:rsidR="00167C13">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sidR="005C08BC">
        <w:rPr>
          <w:rFonts w:cs="Times New Roman"/>
          <w:sz w:val="24"/>
          <w:szCs w:val="24"/>
          <w:lang w:val="en-US"/>
        </w:rPr>
        <w:t xml:space="preserve">a </w:t>
      </w:r>
      <w:r w:rsidRPr="0099279C">
        <w:rPr>
          <w:rFonts w:cs="Times New Roman"/>
          <w:sz w:val="24"/>
          <w:szCs w:val="24"/>
          <w:lang w:val="en-US"/>
        </w:rPr>
        <w:t xml:space="preserve">gull </w:t>
      </w:r>
      <w:r w:rsidR="00B51FC0">
        <w:rPr>
          <w:rFonts w:cs="Times New Roman"/>
          <w:sz w:val="24"/>
          <w:szCs w:val="24"/>
          <w:lang w:val="en-US"/>
        </w:rPr>
        <w:t xml:space="preserve">or surrogate </w:t>
      </w:r>
      <w:r w:rsidRPr="0099279C">
        <w:rPr>
          <w:rFonts w:cs="Times New Roman"/>
          <w:sz w:val="24"/>
          <w:szCs w:val="24"/>
          <w:lang w:val="en-US"/>
        </w:rPr>
        <w:t xml:space="preserve">species. If the exposure dose for </w:t>
      </w:r>
      <w:r w:rsidR="005C08BC">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r w:rsidR="00B51FC0">
        <w:rPr>
          <w:rFonts w:cs="Times New Roman"/>
          <w:sz w:val="24"/>
          <w:szCs w:val="24"/>
          <w:lang w:val="en-US"/>
        </w:rPr>
        <w:t>rodenticide</w:t>
      </w:r>
      <w:r w:rsidR="00B51FC0" w:rsidRPr="0099279C">
        <w:rPr>
          <w:rFonts w:cs="Times New Roman"/>
          <w:sz w:val="24"/>
          <w:szCs w:val="24"/>
          <w:lang w:val="en-US"/>
        </w:rPr>
        <w:t xml:space="preserve"> </w:t>
      </w:r>
      <w:r w:rsidRPr="0099279C">
        <w:rPr>
          <w:rFonts w:cs="Times New Roman"/>
          <w:sz w:val="24"/>
          <w:szCs w:val="24"/>
          <w:lang w:val="en-US"/>
        </w:rPr>
        <w:t xml:space="preserve">applications. </w:t>
      </w:r>
      <w:r w:rsidR="005C08BC">
        <w:rPr>
          <w:rFonts w:cs="Times New Roman"/>
          <w:sz w:val="24"/>
          <w:szCs w:val="24"/>
          <w:lang w:val="en-US"/>
        </w:rPr>
        <w:t>The model then proceeds to simulate the next gull. The process repeats for the number of model simulations selected by the user.</w:t>
      </w:r>
    </w:p>
    <w:p w:rsidR="005C08BC" w:rsidRDefault="005C08BC" w:rsidP="00BD231C">
      <w:pPr>
        <w:rPr>
          <w:rFonts w:cs="Times New Roman"/>
          <w:sz w:val="24"/>
          <w:szCs w:val="24"/>
          <w:lang w:val="en-US"/>
        </w:rPr>
      </w:pPr>
      <w:r>
        <w:rPr>
          <w:rFonts w:cs="Times New Roman"/>
          <w:sz w:val="24"/>
          <w:szCs w:val="24"/>
          <w:lang w:val="en-US"/>
        </w:rPr>
        <w:t>The input values and distributions for the brodifacoum and diphacinone models are summarized in Table 3-1 and discussed in detail in the subsequent section.</w:t>
      </w:r>
    </w:p>
    <w:tbl>
      <w:tblPr>
        <w:tblStyle w:val="TableGrid"/>
        <w:tblW w:w="0" w:type="auto"/>
        <w:tblLook w:val="04A0" w:firstRow="1" w:lastRow="0" w:firstColumn="1" w:lastColumn="0" w:noHBand="0" w:noVBand="1"/>
      </w:tblPr>
      <w:tblGrid>
        <w:gridCol w:w="2427"/>
        <w:gridCol w:w="840"/>
        <w:gridCol w:w="964"/>
        <w:gridCol w:w="1847"/>
        <w:gridCol w:w="3498"/>
      </w:tblGrid>
      <w:tr w:rsidR="006E47C1" w:rsidTr="006E47C1">
        <w:trPr>
          <w:tblHeader/>
        </w:trPr>
        <w:tc>
          <w:tcPr>
            <w:tcW w:w="9576" w:type="dxa"/>
            <w:gridSpan w:val="5"/>
            <w:tcBorders>
              <w:top w:val="nil"/>
              <w:left w:val="nil"/>
              <w:right w:val="nil"/>
            </w:tcBorders>
          </w:tcPr>
          <w:p w:rsidR="0027350D" w:rsidRDefault="006E47C1">
            <w:pPr>
              <w:jc w:val="both"/>
              <w:rPr>
                <w:rFonts w:cs="Times New Roman"/>
                <w:b/>
                <w:sz w:val="24"/>
                <w:szCs w:val="24"/>
                <w:lang w:val="en-US"/>
              </w:rPr>
            </w:pPr>
            <w:r w:rsidRPr="006E47C1">
              <w:rPr>
                <w:rFonts w:cs="Times New Roman"/>
                <w:b/>
                <w:sz w:val="24"/>
                <w:szCs w:val="24"/>
                <w:lang w:val="en-US"/>
              </w:rPr>
              <w:t>Table 3-1. Input values used in western gull risk models for brodifacoum and diphacinone.</w:t>
            </w:r>
          </w:p>
        </w:tc>
      </w:tr>
      <w:tr w:rsidR="002A1A32" w:rsidTr="003E6712">
        <w:trPr>
          <w:tblHeader/>
        </w:trPr>
        <w:tc>
          <w:tcPr>
            <w:tcW w:w="2427" w:type="dxa"/>
          </w:tcPr>
          <w:p w:rsidR="0027350D" w:rsidRDefault="00D239DD" w:rsidP="00E11365">
            <w:pPr>
              <w:jc w:val="center"/>
              <w:rPr>
                <w:rFonts w:cs="Times New Roman"/>
                <w:b/>
                <w:sz w:val="24"/>
                <w:szCs w:val="24"/>
                <w:lang w:val="en-US"/>
              </w:rPr>
            </w:pPr>
            <w:r w:rsidRPr="00D239DD">
              <w:rPr>
                <w:b/>
              </w:rPr>
              <w:t>Variable</w:t>
            </w:r>
          </w:p>
        </w:tc>
        <w:tc>
          <w:tcPr>
            <w:tcW w:w="840" w:type="dxa"/>
          </w:tcPr>
          <w:p w:rsidR="0027350D" w:rsidRDefault="00D239DD" w:rsidP="00E11365">
            <w:pPr>
              <w:jc w:val="center"/>
              <w:rPr>
                <w:rFonts w:cs="Times New Roman"/>
                <w:b/>
                <w:sz w:val="24"/>
                <w:szCs w:val="24"/>
                <w:lang w:val="en-US"/>
              </w:rPr>
            </w:pPr>
            <w:r w:rsidRPr="00D239DD">
              <w:rPr>
                <w:b/>
              </w:rPr>
              <w:t>Value</w:t>
            </w:r>
          </w:p>
        </w:tc>
        <w:tc>
          <w:tcPr>
            <w:tcW w:w="964" w:type="dxa"/>
          </w:tcPr>
          <w:p w:rsidR="0027350D" w:rsidRDefault="00D239DD" w:rsidP="00E11365">
            <w:pPr>
              <w:jc w:val="center"/>
              <w:rPr>
                <w:rFonts w:cs="Times New Roman"/>
                <w:b/>
                <w:sz w:val="24"/>
                <w:szCs w:val="24"/>
                <w:lang w:val="en-US"/>
              </w:rPr>
            </w:pPr>
            <w:r w:rsidRPr="00D239DD">
              <w:rPr>
                <w:b/>
              </w:rPr>
              <w:t>Units</w:t>
            </w:r>
          </w:p>
        </w:tc>
        <w:tc>
          <w:tcPr>
            <w:tcW w:w="1847" w:type="dxa"/>
          </w:tcPr>
          <w:p w:rsidR="0027350D" w:rsidRDefault="00D239DD" w:rsidP="00E11365">
            <w:pPr>
              <w:jc w:val="center"/>
              <w:rPr>
                <w:rFonts w:cs="Times New Roman"/>
                <w:b/>
                <w:sz w:val="24"/>
                <w:szCs w:val="24"/>
                <w:lang w:val="en-US"/>
              </w:rPr>
            </w:pPr>
            <w:r w:rsidRPr="00D239DD">
              <w:rPr>
                <w:b/>
              </w:rPr>
              <w:t>Source</w:t>
            </w:r>
          </w:p>
        </w:tc>
        <w:tc>
          <w:tcPr>
            <w:tcW w:w="3498" w:type="dxa"/>
          </w:tcPr>
          <w:p w:rsidR="0027350D" w:rsidRDefault="00D239DD" w:rsidP="00E11365">
            <w:pPr>
              <w:jc w:val="center"/>
              <w:rPr>
                <w:rFonts w:cs="Times New Roman"/>
                <w:b/>
                <w:sz w:val="24"/>
                <w:szCs w:val="24"/>
                <w:lang w:val="en-US"/>
              </w:rPr>
            </w:pPr>
            <w:r w:rsidRPr="00D239DD">
              <w:rPr>
                <w:b/>
              </w:rPr>
              <w:t>Notes</w:t>
            </w:r>
          </w:p>
        </w:tc>
      </w:tr>
      <w:tr w:rsidR="003E6712"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 </w:t>
            </w:r>
            <w:r w:rsidR="003E6712" w:rsidRPr="005016E6">
              <w:rPr>
                <w:sz w:val="20"/>
                <w:szCs w:val="20"/>
              </w:rPr>
              <w:t>d</w:t>
            </w:r>
            <w:r w:rsidRPr="005016E6">
              <w:rPr>
                <w:sz w:val="20"/>
                <w:szCs w:val="20"/>
              </w:rPr>
              <w:t>ate</w:t>
            </w:r>
          </w:p>
        </w:tc>
        <w:tc>
          <w:tcPr>
            <w:tcW w:w="7149" w:type="dxa"/>
            <w:gridSpan w:val="4"/>
            <w:vAlign w:val="center"/>
          </w:tcPr>
          <w:p w:rsidR="0027350D" w:rsidRPr="005016E6" w:rsidRDefault="003E6712" w:rsidP="00E11365">
            <w:pPr>
              <w:rPr>
                <w:rFonts w:cs="Times New Roman"/>
                <w:sz w:val="20"/>
                <w:szCs w:val="20"/>
                <w:lang w:val="en-US"/>
              </w:rPr>
            </w:pPr>
            <w:r w:rsidRPr="005016E6">
              <w:rPr>
                <w:sz w:val="20"/>
                <w:szCs w:val="20"/>
              </w:rPr>
              <w:t>User choice of Nov 1, Nov 8, Nov 15, Nov 22, Nov 29, Dec 6, Dec 13 or Dec 20</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1</w:t>
            </w:r>
            <w:r w:rsidR="00D239DD" w:rsidRPr="005016E6">
              <w:rPr>
                <w:sz w:val="20"/>
                <w:szCs w:val="20"/>
                <w:vertAlign w:val="superscript"/>
              </w:rPr>
              <w:t>st</w:t>
            </w:r>
            <w:r w:rsidR="00D239DD" w:rsidRPr="005016E6">
              <w:rPr>
                <w:sz w:val="20"/>
                <w:szCs w:val="20"/>
              </w:rPr>
              <w:t xml:space="preserve"> </w:t>
            </w:r>
            <w:r w:rsidR="003E671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r w:rsidR="003E6712" w:rsidRPr="005016E6">
              <w:rPr>
                <w:sz w:val="20"/>
                <w:szCs w:val="20"/>
              </w:rPr>
              <w:t>brodifacoum</w:t>
            </w:r>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18</w:t>
            </w:r>
          </w:p>
        </w:tc>
        <w:tc>
          <w:tcPr>
            <w:tcW w:w="964"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kg bait/ha</w:t>
            </w:r>
          </w:p>
        </w:tc>
        <w:tc>
          <w:tcPr>
            <w:tcW w:w="1847"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EPA</w:t>
            </w:r>
            <w:r w:rsidR="00B84E02" w:rsidRPr="005016E6">
              <w:rPr>
                <w:sz w:val="20"/>
                <w:szCs w:val="20"/>
              </w:rPr>
              <w:t>,</w:t>
            </w:r>
            <w:r w:rsidRPr="005016E6">
              <w:rPr>
                <w:sz w:val="20"/>
                <w:szCs w:val="20"/>
              </w:rPr>
              <w:t xml:space="preserve"> 2008</w:t>
            </w:r>
          </w:p>
        </w:tc>
        <w:tc>
          <w:tcPr>
            <w:tcW w:w="3498" w:type="dxa"/>
            <w:vMerge w:val="restart"/>
            <w:vAlign w:val="center"/>
          </w:tcPr>
          <w:p w:rsidR="0027350D" w:rsidRPr="005016E6" w:rsidRDefault="00B84E02" w:rsidP="00AF722D">
            <w:pPr>
              <w:rPr>
                <w:rFonts w:cs="Times New Roman"/>
                <w:sz w:val="20"/>
                <w:szCs w:val="20"/>
                <w:lang w:val="en-US"/>
              </w:rPr>
            </w:pPr>
            <w:r w:rsidRPr="005016E6">
              <w:rPr>
                <w:sz w:val="20"/>
                <w:szCs w:val="20"/>
              </w:rPr>
              <w:t>Maximum recommended application rates on label.</w:t>
            </w:r>
            <w:r w:rsidR="00D239DD" w:rsidRPr="005016E6">
              <w:rPr>
                <w:sz w:val="20"/>
                <w:szCs w:val="20"/>
              </w:rPr>
              <w:t xml:space="preserve"> </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2</w:t>
            </w:r>
            <w:r w:rsidR="00D239DD" w:rsidRPr="005016E6">
              <w:rPr>
                <w:sz w:val="20"/>
                <w:szCs w:val="20"/>
                <w:vertAlign w:val="superscript"/>
              </w:rPr>
              <w:t>nd</w:t>
            </w:r>
            <w:r w:rsidR="00D239DD" w:rsidRPr="005016E6">
              <w:rPr>
                <w:sz w:val="20"/>
                <w:szCs w:val="20"/>
              </w:rPr>
              <w:t xml:space="preserve"> </w:t>
            </w:r>
            <w:r w:rsidR="003A53F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r w:rsidR="003E6712" w:rsidRPr="005016E6">
              <w:rPr>
                <w:sz w:val="20"/>
                <w:szCs w:val="20"/>
              </w:rPr>
              <w:t>brodifacoum</w:t>
            </w:r>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9</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061AED" w:rsidTr="003E6712">
        <w:tc>
          <w:tcPr>
            <w:tcW w:w="2427" w:type="dxa"/>
            <w:vAlign w:val="center"/>
          </w:tcPr>
          <w:p w:rsidR="0027350D" w:rsidRPr="005016E6" w:rsidRDefault="003E6712" w:rsidP="00E11365">
            <w:pPr>
              <w:rPr>
                <w:rFonts w:cs="Times New Roman"/>
                <w:sz w:val="20"/>
                <w:szCs w:val="20"/>
                <w:lang w:val="en-US"/>
              </w:rPr>
            </w:pPr>
            <w:r w:rsidRPr="005016E6">
              <w:rPr>
                <w:sz w:val="20"/>
                <w:szCs w:val="20"/>
              </w:rPr>
              <w:t>Number of</w:t>
            </w:r>
            <w:r w:rsidR="00D239DD" w:rsidRPr="005016E6">
              <w:rPr>
                <w:sz w:val="20"/>
                <w:szCs w:val="20"/>
              </w:rPr>
              <w:t xml:space="preserve"> </w:t>
            </w:r>
            <w:r w:rsidRPr="005016E6">
              <w:rPr>
                <w:sz w:val="20"/>
                <w:szCs w:val="20"/>
              </w:rPr>
              <w:t>a</w:t>
            </w:r>
            <w:r w:rsidR="00D239DD" w:rsidRPr="005016E6">
              <w:rPr>
                <w:sz w:val="20"/>
                <w:szCs w:val="20"/>
              </w:rPr>
              <w:t>pplications</w:t>
            </w:r>
            <w:r w:rsidRPr="005016E6">
              <w:rPr>
                <w:sz w:val="20"/>
                <w:szCs w:val="20"/>
              </w:rPr>
              <w:t xml:space="preserve"> </w:t>
            </w:r>
            <w:r w:rsidR="00061AED" w:rsidRPr="005016E6">
              <w:rPr>
                <w:sz w:val="20"/>
                <w:szCs w:val="20"/>
              </w:rPr>
              <w:t>(</w:t>
            </w:r>
            <w:r w:rsidRPr="005016E6">
              <w:rPr>
                <w:sz w:val="20"/>
                <w:szCs w:val="20"/>
              </w:rPr>
              <w:t>b</w:t>
            </w:r>
            <w:r w:rsidR="00061AED" w:rsidRPr="005016E6">
              <w:rPr>
                <w:sz w:val="20"/>
                <w:szCs w:val="20"/>
              </w:rPr>
              <w:t>rodifacoum)</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B84E02" w:rsidP="00E11365">
            <w:pPr>
              <w:jc w:val="center"/>
              <w:rPr>
                <w:rFonts w:cs="Times New Roman"/>
                <w:sz w:val="20"/>
                <w:szCs w:val="20"/>
                <w:lang w:val="en-US"/>
              </w:rPr>
            </w:pPr>
            <w:r w:rsidRPr="005016E6">
              <w:rPr>
                <w:rFonts w:cs="Times New Roman"/>
                <w:sz w:val="20"/>
                <w:szCs w:val="20"/>
                <w:lang w:val="en-US"/>
              </w:rPr>
              <w:t>EPA,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recommends 2 applications to ensure efficacy.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Applications </w:t>
            </w:r>
            <w:r w:rsidR="003E6712" w:rsidRPr="005016E6">
              <w:rPr>
                <w:sz w:val="20"/>
                <w:szCs w:val="20"/>
              </w:rPr>
              <w:t>i</w:t>
            </w:r>
            <w:r w:rsidRPr="005016E6">
              <w:rPr>
                <w:sz w:val="20"/>
                <w:szCs w:val="20"/>
              </w:rPr>
              <w:t>nterval</w:t>
            </w:r>
            <w:r w:rsidR="00061AED" w:rsidRPr="005016E6">
              <w:rPr>
                <w:sz w:val="20"/>
                <w:szCs w:val="20"/>
              </w:rPr>
              <w:t xml:space="preserve"> (</w:t>
            </w:r>
            <w:r w:rsidR="003E6712" w:rsidRPr="005016E6">
              <w:rPr>
                <w:sz w:val="20"/>
                <w:szCs w:val="20"/>
              </w:rPr>
              <w:t>b</w:t>
            </w:r>
            <w:r w:rsidR="00061AED" w:rsidRPr="005016E6">
              <w:rPr>
                <w:sz w:val="20"/>
                <w:szCs w:val="20"/>
              </w:rPr>
              <w:t>rodifacoum)</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12</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695921" w:rsidP="00E413A6">
            <w:pPr>
              <w:jc w:val="center"/>
              <w:rPr>
                <w:rFonts w:cs="Times New Roman"/>
                <w:sz w:val="20"/>
                <w:szCs w:val="20"/>
                <w:lang w:val="en-US"/>
              </w:rPr>
            </w:pPr>
            <w:r>
              <w:rPr>
                <w:sz w:val="20"/>
                <w:szCs w:val="20"/>
              </w:rPr>
              <w:t>R. Griffiths</w:t>
            </w:r>
            <w:r w:rsidR="00E413A6" w:rsidRPr="005016E6">
              <w:rPr>
                <w:sz w:val="20"/>
                <w:szCs w:val="20"/>
              </w:rPr>
              <w:t>, pers. comm.</w:t>
            </w:r>
          </w:p>
        </w:tc>
        <w:tc>
          <w:tcPr>
            <w:tcW w:w="3498" w:type="dxa"/>
            <w:vAlign w:val="center"/>
          </w:tcPr>
          <w:p w:rsidR="0027350D" w:rsidRPr="005016E6" w:rsidRDefault="00E413A6" w:rsidP="00E413A6">
            <w:pPr>
              <w:rPr>
                <w:rFonts w:cs="Times New Roman"/>
                <w:sz w:val="20"/>
                <w:szCs w:val="20"/>
                <w:lang w:val="en-US"/>
              </w:rPr>
            </w:pPr>
            <w:r>
              <w:rPr>
                <w:sz w:val="20"/>
                <w:szCs w:val="20"/>
              </w:rPr>
              <w:t>Based on preliminary assessments and previous eradications</w:t>
            </w:r>
            <w:r w:rsidR="00AE69F1">
              <w:rPr>
                <w:sz w:val="20"/>
                <w:szCs w:val="20"/>
              </w:rPr>
              <w:t xml:space="preserve">, </w:t>
            </w:r>
            <w:r w:rsidR="00AE69F1" w:rsidRPr="005016E6">
              <w:rPr>
                <w:sz w:val="20"/>
                <w:szCs w:val="20"/>
              </w:rPr>
              <w:t>interval</w:t>
            </w:r>
            <w:r w:rsidR="00D239DD" w:rsidRPr="005016E6">
              <w:rPr>
                <w:sz w:val="20"/>
                <w:szCs w:val="20"/>
              </w:rPr>
              <w:t xml:space="preserve"> would likely be 10-14 days</w:t>
            </w:r>
            <w:r w:rsidR="00B84E02" w:rsidRPr="005016E6">
              <w:rPr>
                <w:sz w:val="20"/>
                <w:szCs w:val="20"/>
              </w:rPr>
              <w:t>.</w:t>
            </w:r>
          </w:p>
        </w:tc>
      </w:tr>
      <w:tr w:rsidR="00061AED" w:rsidTr="003E6712">
        <w:tc>
          <w:tcPr>
            <w:tcW w:w="2427" w:type="dxa"/>
            <w:vAlign w:val="center"/>
          </w:tcPr>
          <w:p w:rsidR="0027350D" w:rsidRPr="005016E6" w:rsidRDefault="003E6712" w:rsidP="00E11365">
            <w:pPr>
              <w:rPr>
                <w:rFonts w:cs="Times New Roman"/>
                <w:sz w:val="20"/>
                <w:szCs w:val="20"/>
                <w:lang w:val="en-US"/>
              </w:rPr>
            </w:pPr>
            <w:r w:rsidRPr="005016E6">
              <w:rPr>
                <w:sz w:val="20"/>
                <w:szCs w:val="20"/>
              </w:rPr>
              <w:t>Brodifacoum</w:t>
            </w:r>
            <w:r w:rsidR="00D239DD" w:rsidRPr="005016E6">
              <w:rPr>
                <w:sz w:val="20"/>
                <w:szCs w:val="20"/>
              </w:rPr>
              <w:t xml:space="preserve"> </w:t>
            </w:r>
            <w:r w:rsidRPr="005016E6">
              <w:rPr>
                <w:sz w:val="20"/>
                <w:szCs w:val="20"/>
              </w:rPr>
              <w:t>c</w:t>
            </w:r>
            <w:r w:rsidR="00D239DD" w:rsidRPr="005016E6">
              <w:rPr>
                <w:sz w:val="20"/>
                <w:szCs w:val="20"/>
              </w:rPr>
              <w:t>oncentration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25</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mg ai/kg pellet</w:t>
            </w:r>
          </w:p>
        </w:tc>
        <w:tc>
          <w:tcPr>
            <w:tcW w:w="1847" w:type="dxa"/>
            <w:vAlign w:val="center"/>
          </w:tcPr>
          <w:p w:rsidR="0027350D" w:rsidRPr="005016E6" w:rsidRDefault="00D239DD" w:rsidP="00E11365">
            <w:pPr>
              <w:jc w:val="center"/>
              <w:rPr>
                <w:rFonts w:cs="Times New Roman"/>
                <w:sz w:val="20"/>
                <w:szCs w:val="20"/>
                <w:lang w:val="en-US"/>
              </w:rPr>
            </w:pPr>
            <w:r w:rsidRPr="005016E6">
              <w:rPr>
                <w:sz w:val="20"/>
                <w:szCs w:val="20"/>
              </w:rPr>
              <w:t>EPA</w:t>
            </w:r>
            <w:r w:rsidR="003E6712" w:rsidRPr="005016E6">
              <w:rPr>
                <w:sz w:val="20"/>
                <w:szCs w:val="20"/>
              </w:rPr>
              <w:t>,</w:t>
            </w:r>
            <w:r w:rsidRPr="005016E6">
              <w:rPr>
                <w:sz w:val="20"/>
                <w:szCs w:val="20"/>
              </w:rPr>
              <w:t xml:space="preserve">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states 0.0025% active ingredient in pellet formulation. </w:t>
            </w:r>
          </w:p>
        </w:tc>
      </w:tr>
      <w:tr w:rsidR="00695921" w:rsidTr="005537BF">
        <w:trPr>
          <w:trHeight w:val="584"/>
        </w:trPr>
        <w:tc>
          <w:tcPr>
            <w:tcW w:w="2427" w:type="dxa"/>
            <w:vAlign w:val="center"/>
          </w:tcPr>
          <w:p w:rsidR="00695921" w:rsidRPr="005016E6" w:rsidRDefault="00695921" w:rsidP="00E11365">
            <w:pPr>
              <w:rPr>
                <w:sz w:val="20"/>
                <w:szCs w:val="20"/>
              </w:rPr>
            </w:pPr>
            <w:r w:rsidRPr="005016E6">
              <w:rPr>
                <w:sz w:val="20"/>
                <w:szCs w:val="20"/>
              </w:rPr>
              <w:t>Application rate (diphacinone)</w:t>
            </w:r>
            <w:r w:rsidRPr="005016E6">
              <w:rPr>
                <w:sz w:val="20"/>
                <w:szCs w:val="20"/>
                <w:vertAlign w:val="superscript"/>
              </w:rPr>
              <w:t>1</w:t>
            </w:r>
          </w:p>
        </w:tc>
        <w:tc>
          <w:tcPr>
            <w:tcW w:w="840" w:type="dxa"/>
            <w:vAlign w:val="center"/>
          </w:tcPr>
          <w:p w:rsidR="00695921" w:rsidRPr="005016E6" w:rsidRDefault="00695921" w:rsidP="00AF722D">
            <w:pPr>
              <w:jc w:val="center"/>
              <w:rPr>
                <w:sz w:val="20"/>
                <w:szCs w:val="20"/>
              </w:rPr>
            </w:pPr>
            <w:r>
              <w:rPr>
                <w:sz w:val="20"/>
                <w:szCs w:val="20"/>
              </w:rPr>
              <w:t>48</w:t>
            </w:r>
          </w:p>
        </w:tc>
        <w:tc>
          <w:tcPr>
            <w:tcW w:w="964" w:type="dxa"/>
            <w:vAlign w:val="center"/>
          </w:tcPr>
          <w:p w:rsidR="00695921" w:rsidRPr="005016E6" w:rsidRDefault="00695921" w:rsidP="00E11365">
            <w:pPr>
              <w:jc w:val="center"/>
              <w:rPr>
                <w:sz w:val="20"/>
                <w:szCs w:val="20"/>
              </w:rPr>
            </w:pPr>
            <w:r w:rsidRPr="005016E6">
              <w:rPr>
                <w:sz w:val="20"/>
                <w:szCs w:val="20"/>
              </w:rPr>
              <w:t>kg bait/ha</w:t>
            </w:r>
          </w:p>
        </w:tc>
        <w:tc>
          <w:tcPr>
            <w:tcW w:w="1847" w:type="dxa"/>
            <w:vMerge w:val="restart"/>
            <w:vAlign w:val="center"/>
          </w:tcPr>
          <w:p w:rsidR="00695921" w:rsidRPr="005016E6" w:rsidRDefault="00695921" w:rsidP="00E11365">
            <w:pPr>
              <w:jc w:val="center"/>
              <w:rPr>
                <w:sz w:val="20"/>
                <w:szCs w:val="20"/>
              </w:rPr>
            </w:pPr>
            <w:r>
              <w:rPr>
                <w:sz w:val="20"/>
                <w:szCs w:val="20"/>
              </w:rPr>
              <w:t>R. Griffiths</w:t>
            </w:r>
            <w:r w:rsidRPr="005016E6">
              <w:rPr>
                <w:sz w:val="20"/>
                <w:szCs w:val="20"/>
              </w:rPr>
              <w:t>, pers. comm.</w:t>
            </w:r>
            <w:r>
              <w:rPr>
                <w:sz w:val="20"/>
                <w:szCs w:val="20"/>
              </w:rPr>
              <w:t>, based on average rate of bait uptake during 2010 bait trial (Grout, 2012)</w:t>
            </w:r>
          </w:p>
        </w:tc>
        <w:tc>
          <w:tcPr>
            <w:tcW w:w="3498" w:type="dxa"/>
            <w:vMerge w:val="restart"/>
            <w:vAlign w:val="center"/>
          </w:tcPr>
          <w:p w:rsidR="00695921" w:rsidRPr="005016E6" w:rsidRDefault="00695921" w:rsidP="00E11365">
            <w:pPr>
              <w:rPr>
                <w:sz w:val="20"/>
                <w:szCs w:val="20"/>
              </w:rPr>
            </w:pPr>
            <w:r w:rsidRPr="005016E6">
              <w:rPr>
                <w:sz w:val="20"/>
                <w:szCs w:val="20"/>
              </w:rPr>
              <w:t xml:space="preserve">Because an uninterrupted supply of </w:t>
            </w:r>
            <w:r>
              <w:rPr>
                <w:sz w:val="20"/>
                <w:szCs w:val="20"/>
              </w:rPr>
              <w:t xml:space="preserve">this </w:t>
            </w:r>
            <w:r w:rsidRPr="005016E6">
              <w:rPr>
                <w:sz w:val="20"/>
                <w:szCs w:val="20"/>
              </w:rPr>
              <w:t xml:space="preserve">rodent bait </w:t>
            </w:r>
            <w:r>
              <w:rPr>
                <w:sz w:val="20"/>
                <w:szCs w:val="20"/>
              </w:rPr>
              <w:t>i</w:t>
            </w:r>
            <w:r w:rsidRPr="005016E6">
              <w:rPr>
                <w:sz w:val="20"/>
                <w:szCs w:val="20"/>
              </w:rPr>
              <w:t xml:space="preserve">s required </w:t>
            </w:r>
            <w:r>
              <w:rPr>
                <w:sz w:val="20"/>
                <w:szCs w:val="20"/>
              </w:rPr>
              <w:t xml:space="preserve">for up to 21 days </w:t>
            </w:r>
            <w:r w:rsidRPr="005016E6">
              <w:rPr>
                <w:sz w:val="20"/>
                <w:szCs w:val="20"/>
              </w:rPr>
              <w:t>to ensure mortality in rats, more applications and a shorter interval between applications will be required to minimize the risk of bait being unavailable to mice.</w:t>
            </w:r>
          </w:p>
        </w:tc>
      </w:tr>
      <w:tr w:rsidR="002642EC" w:rsidTr="003E6712">
        <w:tc>
          <w:tcPr>
            <w:tcW w:w="2427" w:type="dxa"/>
            <w:vAlign w:val="center"/>
          </w:tcPr>
          <w:p w:rsidR="0027350D" w:rsidRPr="005016E6" w:rsidRDefault="002642EC" w:rsidP="00E11365">
            <w:pPr>
              <w:rPr>
                <w:sz w:val="20"/>
                <w:szCs w:val="20"/>
              </w:rPr>
            </w:pPr>
            <w:r w:rsidRPr="005016E6">
              <w:rPr>
                <w:sz w:val="20"/>
                <w:szCs w:val="20"/>
              </w:rPr>
              <w:t>Number of applications (diphacinone)</w:t>
            </w:r>
          </w:p>
        </w:tc>
        <w:tc>
          <w:tcPr>
            <w:tcW w:w="840" w:type="dxa"/>
            <w:vAlign w:val="center"/>
          </w:tcPr>
          <w:p w:rsidR="002642EC" w:rsidRPr="005016E6" w:rsidRDefault="002642EC" w:rsidP="00E11365">
            <w:pPr>
              <w:jc w:val="center"/>
              <w:rPr>
                <w:sz w:val="20"/>
                <w:szCs w:val="20"/>
              </w:rPr>
            </w:pPr>
            <w:r w:rsidRPr="005016E6">
              <w:rPr>
                <w:sz w:val="20"/>
                <w:szCs w:val="20"/>
              </w:rPr>
              <w:t>3</w:t>
            </w:r>
          </w:p>
        </w:tc>
        <w:tc>
          <w:tcPr>
            <w:tcW w:w="964" w:type="dxa"/>
            <w:vAlign w:val="center"/>
          </w:tcPr>
          <w:p w:rsidR="002642EC" w:rsidRPr="005016E6" w:rsidRDefault="002642EC" w:rsidP="00E11365">
            <w:pPr>
              <w:jc w:val="center"/>
              <w:rPr>
                <w:sz w:val="20"/>
                <w:szCs w:val="20"/>
              </w:rPr>
            </w:pP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7350D" w:rsidRPr="005016E6" w:rsidRDefault="002642EC" w:rsidP="00E11365">
            <w:pPr>
              <w:rPr>
                <w:sz w:val="20"/>
                <w:szCs w:val="20"/>
              </w:rPr>
            </w:pPr>
            <w:r w:rsidRPr="005016E6">
              <w:rPr>
                <w:sz w:val="20"/>
                <w:szCs w:val="20"/>
              </w:rPr>
              <w:t>Applications interval (diphacinone)</w:t>
            </w:r>
          </w:p>
        </w:tc>
        <w:tc>
          <w:tcPr>
            <w:tcW w:w="840" w:type="dxa"/>
            <w:vAlign w:val="center"/>
          </w:tcPr>
          <w:p w:rsidR="002642EC" w:rsidRPr="005016E6" w:rsidRDefault="002642EC" w:rsidP="00E11365">
            <w:pPr>
              <w:jc w:val="center"/>
              <w:rPr>
                <w:sz w:val="20"/>
                <w:szCs w:val="20"/>
              </w:rPr>
            </w:pPr>
            <w:r w:rsidRPr="005016E6">
              <w:rPr>
                <w:sz w:val="20"/>
                <w:szCs w:val="20"/>
              </w:rPr>
              <w:t>7</w:t>
            </w:r>
          </w:p>
        </w:tc>
        <w:tc>
          <w:tcPr>
            <w:tcW w:w="964" w:type="dxa"/>
            <w:vAlign w:val="center"/>
          </w:tcPr>
          <w:p w:rsidR="002642EC" w:rsidRPr="005016E6" w:rsidRDefault="002642EC" w:rsidP="00E11365">
            <w:pPr>
              <w:jc w:val="center"/>
              <w:rPr>
                <w:sz w:val="20"/>
                <w:szCs w:val="20"/>
              </w:rPr>
            </w:pPr>
            <w:r w:rsidRPr="005016E6">
              <w:rPr>
                <w:sz w:val="20"/>
                <w:szCs w:val="20"/>
              </w:rPr>
              <w:t>days</w:t>
            </w: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642EC" w:rsidRPr="005016E6" w:rsidRDefault="002642EC" w:rsidP="00E11365">
            <w:pPr>
              <w:rPr>
                <w:sz w:val="20"/>
                <w:szCs w:val="20"/>
              </w:rPr>
            </w:pPr>
            <w:r w:rsidRPr="005016E6">
              <w:rPr>
                <w:sz w:val="20"/>
                <w:szCs w:val="20"/>
              </w:rPr>
              <w:t>Diphacinone concentration</w:t>
            </w:r>
          </w:p>
        </w:tc>
        <w:tc>
          <w:tcPr>
            <w:tcW w:w="840" w:type="dxa"/>
            <w:vAlign w:val="center"/>
          </w:tcPr>
          <w:p w:rsidR="002642EC" w:rsidRPr="005016E6" w:rsidRDefault="002642EC" w:rsidP="00E11365">
            <w:pPr>
              <w:jc w:val="center"/>
              <w:rPr>
                <w:sz w:val="20"/>
                <w:szCs w:val="20"/>
              </w:rPr>
            </w:pPr>
            <w:r w:rsidRPr="005016E6">
              <w:rPr>
                <w:sz w:val="20"/>
                <w:szCs w:val="20"/>
              </w:rPr>
              <w:t>50</w:t>
            </w:r>
          </w:p>
        </w:tc>
        <w:tc>
          <w:tcPr>
            <w:tcW w:w="964" w:type="dxa"/>
            <w:vAlign w:val="center"/>
          </w:tcPr>
          <w:p w:rsidR="002642EC" w:rsidRPr="005016E6" w:rsidRDefault="002642EC" w:rsidP="00E11365">
            <w:pPr>
              <w:jc w:val="center"/>
              <w:rPr>
                <w:sz w:val="20"/>
                <w:szCs w:val="20"/>
              </w:rPr>
            </w:pPr>
            <w:r w:rsidRPr="005016E6">
              <w:rPr>
                <w:sz w:val="20"/>
                <w:szCs w:val="20"/>
              </w:rPr>
              <w:t>mg ai/kg pellet</w:t>
            </w:r>
          </w:p>
        </w:tc>
        <w:tc>
          <w:tcPr>
            <w:tcW w:w="1847" w:type="dxa"/>
            <w:vAlign w:val="center"/>
          </w:tcPr>
          <w:p w:rsidR="002642EC" w:rsidRPr="005016E6" w:rsidRDefault="002642EC" w:rsidP="00E11365">
            <w:pPr>
              <w:jc w:val="center"/>
              <w:rPr>
                <w:sz w:val="20"/>
                <w:szCs w:val="20"/>
              </w:rPr>
            </w:pPr>
            <w:r w:rsidRPr="005016E6">
              <w:rPr>
                <w:sz w:val="20"/>
                <w:szCs w:val="20"/>
              </w:rPr>
              <w:t>Ramik Green Label</w:t>
            </w:r>
          </w:p>
        </w:tc>
        <w:tc>
          <w:tcPr>
            <w:tcW w:w="3498" w:type="dxa"/>
            <w:vAlign w:val="center"/>
          </w:tcPr>
          <w:p w:rsidR="0027350D" w:rsidRPr="005016E6" w:rsidRDefault="002642EC" w:rsidP="00E11365">
            <w:pPr>
              <w:rPr>
                <w:sz w:val="20"/>
                <w:szCs w:val="20"/>
              </w:rPr>
            </w:pPr>
            <w:r w:rsidRPr="005016E6">
              <w:rPr>
                <w:sz w:val="20"/>
                <w:szCs w:val="20"/>
              </w:rPr>
              <w:t>Label states 0.005% active ingredient in pellet formulation.</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Pellet </w:t>
            </w:r>
            <w:r w:rsidR="003E6712" w:rsidRPr="005016E6">
              <w:rPr>
                <w:sz w:val="20"/>
                <w:szCs w:val="20"/>
              </w:rPr>
              <w:t>w</w:t>
            </w:r>
            <w:r w:rsidRPr="005016E6">
              <w:rPr>
                <w:sz w:val="20"/>
                <w:szCs w:val="20"/>
              </w:rPr>
              <w:t>eight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g ww</w:t>
            </w:r>
          </w:p>
        </w:tc>
        <w:tc>
          <w:tcPr>
            <w:tcW w:w="1847" w:type="dxa"/>
            <w:vAlign w:val="center"/>
          </w:tcPr>
          <w:p w:rsidR="0027350D" w:rsidRPr="005016E6" w:rsidRDefault="00E413A6" w:rsidP="002A7586">
            <w:pPr>
              <w:jc w:val="center"/>
              <w:rPr>
                <w:rFonts w:cs="Times New Roman"/>
                <w:sz w:val="20"/>
                <w:szCs w:val="20"/>
                <w:lang w:val="en-US"/>
              </w:rPr>
            </w:pPr>
            <w:r>
              <w:rPr>
                <w:sz w:val="20"/>
                <w:szCs w:val="20"/>
              </w:rPr>
              <w:t>Island Conservation, unpubl. data (</w:t>
            </w:r>
            <w:r w:rsidR="002A7586">
              <w:rPr>
                <w:sz w:val="20"/>
                <w:szCs w:val="20"/>
              </w:rPr>
              <w:t>Grout 2012</w:t>
            </w:r>
            <w:r>
              <w:rPr>
                <w:sz w:val="20"/>
                <w:szCs w:val="20"/>
              </w:rPr>
              <w:t>)</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Mean pellet weight determined from a sample of 100 placebo 3/8-inch diameter pellets.</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Pellet </w:t>
            </w:r>
            <w:r w:rsidR="003E6712" w:rsidRPr="005016E6">
              <w:rPr>
                <w:sz w:val="20"/>
                <w:szCs w:val="20"/>
              </w:rPr>
              <w:t>h</w:t>
            </w:r>
            <w:r w:rsidRPr="005016E6">
              <w:rPr>
                <w:sz w:val="20"/>
                <w:szCs w:val="20"/>
              </w:rPr>
              <w:t xml:space="preserve">alf </w:t>
            </w:r>
            <w:r w:rsidR="003E6712" w:rsidRPr="005016E6">
              <w:rPr>
                <w:sz w:val="20"/>
                <w:szCs w:val="20"/>
              </w:rPr>
              <w:t>l</w:t>
            </w:r>
            <w:r w:rsidRPr="005016E6">
              <w:rPr>
                <w:sz w:val="20"/>
                <w:szCs w:val="20"/>
              </w:rPr>
              <w:t xml:space="preserve">ife (1st </w:t>
            </w:r>
            <w:r w:rsidR="003E6712" w:rsidRPr="005016E6">
              <w:rPr>
                <w:sz w:val="20"/>
                <w:szCs w:val="20"/>
              </w:rPr>
              <w:t>a</w:t>
            </w:r>
            <w:r w:rsidRPr="005016E6">
              <w:rPr>
                <w:sz w:val="20"/>
                <w:szCs w:val="20"/>
              </w:rPr>
              <w:t>pplication)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w:t>
            </w:r>
          </w:p>
        </w:tc>
        <w:tc>
          <w:tcPr>
            <w:tcW w:w="1847" w:type="dxa"/>
            <w:vAlign w:val="center"/>
          </w:tcPr>
          <w:p w:rsidR="0027350D" w:rsidRPr="005016E6" w:rsidRDefault="00E413A6" w:rsidP="002A7586">
            <w:pPr>
              <w:jc w:val="center"/>
              <w:rPr>
                <w:rFonts w:cs="Times New Roman"/>
                <w:sz w:val="20"/>
                <w:szCs w:val="20"/>
                <w:lang w:val="en-US"/>
              </w:rPr>
            </w:pPr>
            <w:r>
              <w:rPr>
                <w:sz w:val="20"/>
                <w:szCs w:val="20"/>
              </w:rPr>
              <w:t>Island Conservation, unpubl. data (</w:t>
            </w:r>
            <w:r w:rsidR="002A7586">
              <w:rPr>
                <w:sz w:val="20"/>
                <w:szCs w:val="20"/>
              </w:rPr>
              <w:t>Grout 2012</w:t>
            </w:r>
            <w:r>
              <w:rPr>
                <w:sz w:val="20"/>
                <w:szCs w:val="20"/>
              </w:rPr>
              <w:t>)</w:t>
            </w:r>
          </w:p>
        </w:tc>
        <w:tc>
          <w:tcPr>
            <w:tcW w:w="3498" w:type="dxa"/>
            <w:vAlign w:val="center"/>
          </w:tcPr>
          <w:p w:rsidR="0027350D" w:rsidRPr="005016E6" w:rsidRDefault="00D239DD" w:rsidP="00AF722D">
            <w:pPr>
              <w:rPr>
                <w:rFonts w:cs="Times New Roman"/>
                <w:sz w:val="20"/>
                <w:szCs w:val="20"/>
                <w:lang w:val="en-US"/>
              </w:rPr>
            </w:pPr>
            <w:r w:rsidRPr="005016E6">
              <w:rPr>
                <w:sz w:val="20"/>
                <w:szCs w:val="20"/>
              </w:rPr>
              <w:t xml:space="preserve">Nov 2010 trials showed that </w:t>
            </w:r>
            <w:r w:rsidR="00AF722D">
              <w:rPr>
                <w:sz w:val="20"/>
                <w:szCs w:val="20"/>
              </w:rPr>
              <w:t xml:space="preserve">most </w:t>
            </w:r>
            <w:r w:rsidRPr="005016E6">
              <w:rPr>
                <w:sz w:val="20"/>
                <w:szCs w:val="20"/>
              </w:rPr>
              <w:t>pellets from 1</w:t>
            </w:r>
            <w:r w:rsidRPr="005016E6">
              <w:rPr>
                <w:sz w:val="20"/>
                <w:szCs w:val="20"/>
                <w:vertAlign w:val="superscript"/>
              </w:rPr>
              <w:t>st</w:t>
            </w:r>
            <w:r w:rsidRPr="005016E6">
              <w:rPr>
                <w:sz w:val="20"/>
                <w:szCs w:val="20"/>
              </w:rPr>
              <w:t xml:space="preserve"> application </w:t>
            </w:r>
            <w:r w:rsidR="00AF722D">
              <w:rPr>
                <w:sz w:val="20"/>
                <w:szCs w:val="20"/>
              </w:rPr>
              <w:t xml:space="preserve">had disappeared </w:t>
            </w:r>
            <w:r w:rsidRPr="005016E6">
              <w:rPr>
                <w:sz w:val="20"/>
                <w:szCs w:val="20"/>
              </w:rPr>
              <w:t xml:space="preserve">after 5 days. Assuming a half-life of </w:t>
            </w:r>
            <w:r w:rsidR="003E6712" w:rsidRPr="005016E6">
              <w:rPr>
                <w:sz w:val="20"/>
                <w:szCs w:val="20"/>
              </w:rPr>
              <w:t>1</w:t>
            </w:r>
            <w:r w:rsidRPr="005016E6">
              <w:rPr>
                <w:sz w:val="20"/>
                <w:szCs w:val="20"/>
              </w:rPr>
              <w:t xml:space="preserve"> day leaves 3.1</w:t>
            </w:r>
            <w:r w:rsidR="003E6712" w:rsidRPr="005016E6">
              <w:rPr>
                <w:sz w:val="20"/>
                <w:szCs w:val="20"/>
              </w:rPr>
              <w:t>3</w:t>
            </w:r>
            <w:r w:rsidRPr="005016E6">
              <w:rPr>
                <w:sz w:val="20"/>
                <w:szCs w:val="20"/>
              </w:rPr>
              <w:t>% of pellets after 5 d</w:t>
            </w:r>
            <w:r w:rsidR="003E6712" w:rsidRPr="005016E6">
              <w:rPr>
                <w:sz w:val="20"/>
                <w:szCs w:val="20"/>
              </w:rPr>
              <w:t>ays</w:t>
            </w:r>
            <w:r w:rsidRPr="005016E6">
              <w:rPr>
                <w:sz w:val="20"/>
                <w:szCs w:val="20"/>
              </w:rPr>
              <w:t xml:space="preserve">.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Time to </w:t>
            </w:r>
            <w:r w:rsidR="003E6712" w:rsidRPr="005016E6">
              <w:rPr>
                <w:sz w:val="20"/>
                <w:szCs w:val="20"/>
              </w:rPr>
              <w:t>s</w:t>
            </w:r>
            <w:r w:rsidRPr="005016E6">
              <w:rPr>
                <w:sz w:val="20"/>
                <w:szCs w:val="20"/>
              </w:rPr>
              <w:t xml:space="preserve">ignificant </w:t>
            </w:r>
            <w:r w:rsidR="003E6712" w:rsidRPr="005016E6">
              <w:rPr>
                <w:sz w:val="20"/>
                <w:szCs w:val="20"/>
              </w:rPr>
              <w:t>r</w:t>
            </w:r>
            <w:r w:rsidRPr="005016E6">
              <w:rPr>
                <w:sz w:val="20"/>
                <w:szCs w:val="20"/>
              </w:rPr>
              <w:t xml:space="preserve">ainfall </w:t>
            </w:r>
            <w:r w:rsidR="003E6712" w:rsidRPr="005016E6">
              <w:rPr>
                <w:sz w:val="20"/>
                <w:szCs w:val="20"/>
              </w:rPr>
              <w:t>e</w:t>
            </w:r>
            <w:r w:rsidRPr="005016E6">
              <w:rPr>
                <w:sz w:val="20"/>
                <w:szCs w:val="20"/>
              </w:rPr>
              <w:t xml:space="preserve">vent </w:t>
            </w:r>
            <w:r w:rsidR="003E6712" w:rsidRPr="005016E6">
              <w:rPr>
                <w:sz w:val="20"/>
                <w:szCs w:val="20"/>
              </w:rPr>
              <w:t>f</w:t>
            </w:r>
            <w:r w:rsidRPr="005016E6">
              <w:rPr>
                <w:sz w:val="20"/>
                <w:szCs w:val="20"/>
              </w:rPr>
              <w:t xml:space="preserve">ollowing </w:t>
            </w:r>
            <w:r w:rsidR="003E6712" w:rsidRPr="005016E6">
              <w:rPr>
                <w:sz w:val="20"/>
                <w:szCs w:val="20"/>
              </w:rPr>
              <w:t>2</w:t>
            </w:r>
            <w:r w:rsidRPr="005016E6">
              <w:rPr>
                <w:sz w:val="20"/>
                <w:szCs w:val="20"/>
                <w:vertAlign w:val="superscript"/>
              </w:rPr>
              <w:t>nd</w:t>
            </w:r>
            <w:r w:rsidR="003E6712" w:rsidRPr="005016E6">
              <w:rPr>
                <w:sz w:val="20"/>
                <w:szCs w:val="20"/>
              </w:rPr>
              <w:t xml:space="preserve"> a</w:t>
            </w:r>
            <w:r w:rsidRPr="005016E6">
              <w:rPr>
                <w:sz w:val="20"/>
                <w:szCs w:val="20"/>
              </w:rPr>
              <w:t>pplication</w:t>
            </w:r>
          </w:p>
        </w:tc>
        <w:tc>
          <w:tcPr>
            <w:tcW w:w="840" w:type="dxa"/>
            <w:vAlign w:val="center"/>
          </w:tcPr>
          <w:p w:rsidR="0027350D" w:rsidRPr="005016E6" w:rsidRDefault="003E6712" w:rsidP="00E11365">
            <w:pPr>
              <w:jc w:val="center"/>
              <w:rPr>
                <w:rFonts w:cs="Times New Roman"/>
                <w:sz w:val="20"/>
                <w:szCs w:val="20"/>
                <w:lang w:val="en-US"/>
              </w:rPr>
            </w:pPr>
            <w:r w:rsidRPr="005016E6">
              <w:rPr>
                <w:sz w:val="20"/>
                <w:szCs w:val="20"/>
              </w:rPr>
              <w:t xml:space="preserve">4, </w:t>
            </w:r>
            <w:r w:rsidR="00D239DD" w:rsidRPr="005016E6">
              <w:rPr>
                <w:sz w:val="20"/>
                <w:szCs w:val="20"/>
              </w:rPr>
              <w:t>28</w:t>
            </w:r>
            <w:r w:rsidRPr="005016E6">
              <w:rPr>
                <w:sz w:val="20"/>
                <w:szCs w:val="20"/>
              </w:rPr>
              <w:t xml:space="preserve"> or 117</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3E6712" w:rsidP="00E11365">
            <w:pPr>
              <w:jc w:val="center"/>
              <w:rPr>
                <w:rFonts w:cs="Times New Roman"/>
                <w:sz w:val="20"/>
                <w:szCs w:val="20"/>
                <w:lang w:val="en-US"/>
              </w:rPr>
            </w:pPr>
            <w:r w:rsidRPr="005016E6">
              <w:rPr>
                <w:rFonts w:cs="Times New Roman"/>
                <w:sz w:val="20"/>
                <w:szCs w:val="20"/>
                <w:lang w:val="en-US"/>
              </w:rPr>
              <w:t>1972-2010 rainfall dataset for SEFI</w:t>
            </w:r>
            <w:r w:rsidR="00E413A6">
              <w:rPr>
                <w:rFonts w:cs="Times New Roman"/>
                <w:sz w:val="20"/>
                <w:szCs w:val="20"/>
                <w:lang w:val="en-US"/>
              </w:rPr>
              <w:t xml:space="preserve"> (PRBO)</w:t>
            </w:r>
          </w:p>
        </w:tc>
        <w:tc>
          <w:tcPr>
            <w:tcW w:w="3498" w:type="dxa"/>
            <w:vAlign w:val="center"/>
          </w:tcPr>
          <w:p w:rsidR="0027350D" w:rsidRPr="005016E6" w:rsidRDefault="003E6712" w:rsidP="00E11365">
            <w:pPr>
              <w:rPr>
                <w:rFonts w:cs="Times New Roman"/>
                <w:sz w:val="20"/>
                <w:szCs w:val="20"/>
                <w:lang w:val="en-US"/>
              </w:rPr>
            </w:pPr>
            <w:r w:rsidRPr="005016E6">
              <w:rPr>
                <w:sz w:val="20"/>
                <w:szCs w:val="20"/>
              </w:rPr>
              <w:t>T</w:t>
            </w:r>
            <w:r w:rsidR="00D239DD" w:rsidRPr="005016E6">
              <w:rPr>
                <w:sz w:val="20"/>
                <w:szCs w:val="20"/>
              </w:rPr>
              <w:t>ime to median significant rainfall (</w:t>
            </w:r>
            <w:r w:rsidR="005C402F">
              <w:rPr>
                <w:sz w:val="20"/>
                <w:szCs w:val="20"/>
                <w:u w:val="single"/>
              </w:rPr>
              <w:t>&gt;</w:t>
            </w:r>
            <w:r w:rsidR="00D239DD" w:rsidRPr="005016E6">
              <w:rPr>
                <w:sz w:val="20"/>
                <w:szCs w:val="20"/>
              </w:rPr>
              <w:t>2" in 3 d) is 28 days</w:t>
            </w:r>
            <w:r w:rsidRPr="005016E6">
              <w:rPr>
                <w:sz w:val="20"/>
                <w:szCs w:val="20"/>
              </w:rPr>
              <w:t>. Best case scenario is 4 days and 95</w:t>
            </w:r>
            <w:r w:rsidR="00D239DD" w:rsidRPr="005016E6">
              <w:rPr>
                <w:sz w:val="20"/>
                <w:szCs w:val="20"/>
                <w:vertAlign w:val="superscript"/>
              </w:rPr>
              <w:t>th</w:t>
            </w:r>
            <w:r w:rsidRPr="005016E6">
              <w:rPr>
                <w:sz w:val="20"/>
                <w:szCs w:val="20"/>
              </w:rPr>
              <w:t xml:space="preserve"> percentile is 117 days.</w:t>
            </w:r>
          </w:p>
        </w:tc>
      </w:tr>
      <w:tr w:rsidR="00061AED" w:rsidTr="003E6712">
        <w:tc>
          <w:tcPr>
            <w:tcW w:w="2427" w:type="dxa"/>
            <w:vAlign w:val="center"/>
          </w:tcPr>
          <w:p w:rsidR="0027350D" w:rsidRPr="005016E6" w:rsidRDefault="00D239DD" w:rsidP="00CD6A63">
            <w:pPr>
              <w:rPr>
                <w:rFonts w:cs="Times New Roman"/>
                <w:sz w:val="20"/>
                <w:szCs w:val="20"/>
                <w:lang w:val="en-US"/>
              </w:rPr>
            </w:pPr>
            <w:r w:rsidRPr="005016E6">
              <w:rPr>
                <w:sz w:val="20"/>
                <w:szCs w:val="20"/>
              </w:rPr>
              <w:t xml:space="preserve">Time to </w:t>
            </w:r>
            <w:r w:rsidR="003E6712" w:rsidRPr="005016E6">
              <w:rPr>
                <w:sz w:val="20"/>
                <w:szCs w:val="20"/>
              </w:rPr>
              <w:t>r</w:t>
            </w:r>
            <w:r w:rsidRPr="005016E6">
              <w:rPr>
                <w:sz w:val="20"/>
                <w:szCs w:val="20"/>
              </w:rPr>
              <w:t xml:space="preserve">emoval of </w:t>
            </w:r>
            <w:r w:rsidR="003E6712" w:rsidRPr="005016E6">
              <w:rPr>
                <w:sz w:val="20"/>
                <w:szCs w:val="20"/>
              </w:rPr>
              <w:t>b</w:t>
            </w:r>
            <w:r w:rsidRPr="005016E6">
              <w:rPr>
                <w:sz w:val="20"/>
                <w:szCs w:val="20"/>
              </w:rPr>
              <w:t xml:space="preserve">ait </w:t>
            </w:r>
            <w:r w:rsidR="003E6712" w:rsidRPr="005016E6">
              <w:rPr>
                <w:sz w:val="20"/>
                <w:szCs w:val="20"/>
              </w:rPr>
              <w:t>f</w:t>
            </w:r>
            <w:r w:rsidRPr="005016E6">
              <w:rPr>
                <w:sz w:val="20"/>
                <w:szCs w:val="20"/>
              </w:rPr>
              <w:t xml:space="preserve">ollowing </w:t>
            </w:r>
            <w:r w:rsidR="003E6712" w:rsidRPr="005016E6">
              <w:rPr>
                <w:sz w:val="20"/>
                <w:szCs w:val="20"/>
              </w:rPr>
              <w:t>s</w:t>
            </w:r>
            <w:r w:rsidRPr="005016E6">
              <w:rPr>
                <w:sz w:val="20"/>
                <w:szCs w:val="20"/>
              </w:rPr>
              <w:t xml:space="preserve">ignificant </w:t>
            </w:r>
            <w:r w:rsidR="003E6712" w:rsidRPr="005016E6">
              <w:rPr>
                <w:sz w:val="20"/>
                <w:szCs w:val="20"/>
              </w:rPr>
              <w:t>r</w:t>
            </w:r>
            <w:r w:rsidRPr="005016E6">
              <w:rPr>
                <w:sz w:val="20"/>
                <w:szCs w:val="20"/>
              </w:rPr>
              <w:t xml:space="preserve">ainfall </w:t>
            </w:r>
            <w:r w:rsidR="003E6712" w:rsidRPr="005016E6">
              <w:rPr>
                <w:sz w:val="20"/>
                <w:szCs w:val="20"/>
              </w:rPr>
              <w:t>event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4.5</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E5406F" w:rsidP="009A5657">
            <w:pPr>
              <w:jc w:val="center"/>
              <w:rPr>
                <w:rFonts w:cs="Times New Roman"/>
                <w:sz w:val="20"/>
                <w:szCs w:val="20"/>
                <w:lang w:val="en-US"/>
              </w:rPr>
            </w:pPr>
            <w:r>
              <w:rPr>
                <w:sz w:val="20"/>
                <w:szCs w:val="20"/>
              </w:rPr>
              <w:t>Mosher et al., 2007</w:t>
            </w:r>
            <w:r w:rsidR="00A41AFF">
              <w:rPr>
                <w:sz w:val="20"/>
                <w:szCs w:val="20"/>
              </w:rPr>
              <w:t xml:space="preserve">; </w:t>
            </w:r>
            <w:r w:rsidR="009A5657">
              <w:rPr>
                <w:sz w:val="20"/>
                <w:szCs w:val="20"/>
              </w:rPr>
              <w:t xml:space="preserve">Howald et al. 2001, 2004; </w:t>
            </w:r>
            <w:r w:rsidR="00A41AFF">
              <w:rPr>
                <w:sz w:val="20"/>
                <w:szCs w:val="20"/>
              </w:rPr>
              <w:t>Gregg Howald</w:t>
            </w:r>
            <w:r w:rsidR="009A5657">
              <w:rPr>
                <w:sz w:val="20"/>
                <w:szCs w:val="20"/>
              </w:rPr>
              <w:t>,</w:t>
            </w:r>
            <w:r w:rsidR="00A41AFF">
              <w:rPr>
                <w:sz w:val="20"/>
                <w:szCs w:val="20"/>
              </w:rPr>
              <w:t xml:space="preserve"> pers. obs</w:t>
            </w:r>
            <w:r w:rsidR="009A5657">
              <w:rPr>
                <w:sz w:val="20"/>
                <w:szCs w:val="20"/>
              </w:rPr>
              <w:t>.</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Pellets generally degrade within 2-7 days of a significant rainfall event. </w:t>
            </w:r>
            <w:r w:rsidR="003E6712" w:rsidRPr="005016E6">
              <w:rPr>
                <w:sz w:val="20"/>
                <w:szCs w:val="20"/>
              </w:rPr>
              <w:t>Model assumes average value</w:t>
            </w:r>
            <w:r w:rsidRPr="005016E6">
              <w:rPr>
                <w:sz w:val="20"/>
                <w:szCs w:val="20"/>
              </w:rPr>
              <w:t>.</w:t>
            </w:r>
          </w:p>
        </w:tc>
      </w:tr>
      <w:tr w:rsidR="00A3099C" w:rsidTr="00A3099C">
        <w:tc>
          <w:tcPr>
            <w:tcW w:w="2427" w:type="dxa"/>
            <w:vAlign w:val="center"/>
          </w:tcPr>
          <w:p w:rsidR="0027350D" w:rsidRPr="005016E6" w:rsidRDefault="00A3099C" w:rsidP="00E11365">
            <w:pPr>
              <w:rPr>
                <w:rFonts w:cs="Times New Roman"/>
                <w:sz w:val="20"/>
                <w:szCs w:val="20"/>
                <w:lang w:val="en-US"/>
              </w:rPr>
            </w:pPr>
            <w:r w:rsidRPr="005016E6">
              <w:rPr>
                <w:sz w:val="20"/>
                <w:szCs w:val="20"/>
              </w:rPr>
              <w:t>Mean brodifacoum concentration in mice</w:t>
            </w:r>
          </w:p>
        </w:tc>
        <w:tc>
          <w:tcPr>
            <w:tcW w:w="840" w:type="dxa"/>
            <w:vAlign w:val="center"/>
          </w:tcPr>
          <w:p w:rsidR="0027350D" w:rsidRPr="005016E6" w:rsidRDefault="00A3099C" w:rsidP="00E11365">
            <w:pPr>
              <w:jc w:val="center"/>
              <w:rPr>
                <w:rFonts w:cs="Times New Roman"/>
                <w:sz w:val="20"/>
                <w:szCs w:val="20"/>
                <w:lang w:val="en-US"/>
              </w:rPr>
            </w:pPr>
            <w:r w:rsidRPr="005016E6">
              <w:rPr>
                <w:sz w:val="20"/>
                <w:szCs w:val="20"/>
              </w:rPr>
              <w:t>4.9</w:t>
            </w:r>
          </w:p>
        </w:tc>
        <w:tc>
          <w:tcPr>
            <w:tcW w:w="964" w:type="dxa"/>
            <w:vMerge w:val="restart"/>
            <w:vAlign w:val="center"/>
          </w:tcPr>
          <w:p w:rsidR="00A3099C" w:rsidRPr="005016E6" w:rsidRDefault="00A3099C" w:rsidP="00E11365">
            <w:pPr>
              <w:jc w:val="center"/>
              <w:rPr>
                <w:rFonts w:cs="Times New Roman"/>
                <w:sz w:val="20"/>
                <w:szCs w:val="20"/>
                <w:lang w:val="en-US"/>
              </w:rPr>
            </w:pPr>
            <w:r w:rsidRPr="005016E6">
              <w:rPr>
                <w:sz w:val="20"/>
                <w:szCs w:val="20"/>
              </w:rPr>
              <w:t>mg/kg ww</w:t>
            </w:r>
          </w:p>
          <w:p w:rsidR="0027350D" w:rsidRPr="005016E6" w:rsidRDefault="0027350D" w:rsidP="00E11365">
            <w:pPr>
              <w:jc w:val="center"/>
              <w:rPr>
                <w:rFonts w:cs="Times New Roman"/>
                <w:sz w:val="20"/>
                <w:szCs w:val="20"/>
                <w:lang w:val="en-US"/>
              </w:rPr>
            </w:pPr>
          </w:p>
        </w:tc>
        <w:tc>
          <w:tcPr>
            <w:tcW w:w="1847" w:type="dxa"/>
            <w:vMerge w:val="restart"/>
            <w:vAlign w:val="center"/>
          </w:tcPr>
          <w:p w:rsidR="0027350D" w:rsidRPr="005016E6" w:rsidRDefault="00A3099C" w:rsidP="00E11365">
            <w:pPr>
              <w:jc w:val="center"/>
              <w:rPr>
                <w:rFonts w:cs="Times New Roman"/>
                <w:sz w:val="20"/>
                <w:szCs w:val="20"/>
                <w:lang w:val="en-US"/>
              </w:rPr>
            </w:pPr>
            <w:r w:rsidRPr="005016E6">
              <w:rPr>
                <w:rFonts w:cs="Times New Roman"/>
                <w:sz w:val="20"/>
                <w:szCs w:val="20"/>
                <w:lang w:val="en-US"/>
              </w:rPr>
              <w:t>Howald et al., 1999, 2001</w:t>
            </w:r>
          </w:p>
        </w:tc>
        <w:tc>
          <w:tcPr>
            <w:tcW w:w="3498" w:type="dxa"/>
            <w:vMerge w:val="restart"/>
            <w:vAlign w:val="center"/>
          </w:tcPr>
          <w:p w:rsidR="0027350D" w:rsidRPr="005016E6" w:rsidRDefault="00A3099C" w:rsidP="00E11365">
            <w:pPr>
              <w:rPr>
                <w:rFonts w:cs="Times New Roman"/>
                <w:sz w:val="20"/>
                <w:szCs w:val="20"/>
                <w:lang w:val="en-US"/>
              </w:rPr>
            </w:pPr>
            <w:r w:rsidRPr="005016E6">
              <w:rPr>
                <w:rFonts w:cs="Times New Roman"/>
                <w:sz w:val="20"/>
                <w:szCs w:val="20"/>
                <w:lang w:val="en-US"/>
              </w:rPr>
              <w:t>Mean of 2.71 mg/kg cited in Howald et al. (2001). Mice were exposed for 4-9 days to 25 mg ai/kg bait. Howald et al. (1999), found mean concentration of 4.9 mg/kg in mice. Assumed underlying lognormal distribution in model.</w:t>
            </w:r>
          </w:p>
        </w:tc>
      </w:tr>
      <w:tr w:rsidR="00A3099C" w:rsidTr="00A3099C">
        <w:tc>
          <w:tcPr>
            <w:tcW w:w="2427" w:type="dxa"/>
            <w:vAlign w:val="center"/>
          </w:tcPr>
          <w:p w:rsidR="0027350D" w:rsidRPr="005016E6" w:rsidRDefault="00A3099C" w:rsidP="00E11365">
            <w:pPr>
              <w:rPr>
                <w:rFonts w:cs="Times New Roman"/>
                <w:sz w:val="20"/>
                <w:szCs w:val="20"/>
                <w:lang w:val="en-US"/>
              </w:rPr>
            </w:pPr>
            <w:r w:rsidRPr="005016E6">
              <w:rPr>
                <w:sz w:val="20"/>
                <w:szCs w:val="20"/>
              </w:rPr>
              <w:t>Standard deviation for brodifacoum concentration in mice</w:t>
            </w:r>
          </w:p>
        </w:tc>
        <w:tc>
          <w:tcPr>
            <w:tcW w:w="840" w:type="dxa"/>
            <w:vAlign w:val="center"/>
          </w:tcPr>
          <w:p w:rsidR="0027350D" w:rsidRPr="005016E6" w:rsidRDefault="00A3099C" w:rsidP="00E11365">
            <w:pPr>
              <w:jc w:val="center"/>
              <w:rPr>
                <w:rFonts w:cs="Times New Roman"/>
                <w:sz w:val="20"/>
                <w:szCs w:val="20"/>
                <w:lang w:val="en-US"/>
              </w:rPr>
            </w:pPr>
            <w:r w:rsidRPr="005016E6">
              <w:rPr>
                <w:sz w:val="20"/>
                <w:szCs w:val="20"/>
              </w:rPr>
              <w:t>1.26</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jc w:val="center"/>
              <w:rPr>
                <w:rFonts w:cs="Times New Roman"/>
                <w:sz w:val="20"/>
                <w:szCs w:val="20"/>
                <w:lang w:val="en-US"/>
              </w:rPr>
            </w:pPr>
          </w:p>
        </w:tc>
      </w:tr>
      <w:tr w:rsidR="00995913" w:rsidTr="008E05EF">
        <w:trPr>
          <w:trHeight w:val="930"/>
        </w:trPr>
        <w:tc>
          <w:tcPr>
            <w:tcW w:w="2427" w:type="dxa"/>
            <w:vAlign w:val="center"/>
          </w:tcPr>
          <w:p w:rsidR="0027350D" w:rsidRPr="005016E6" w:rsidRDefault="00995913" w:rsidP="00E11365">
            <w:pPr>
              <w:rPr>
                <w:rFonts w:cs="Times New Roman"/>
                <w:sz w:val="20"/>
                <w:szCs w:val="20"/>
                <w:lang w:val="en-US"/>
              </w:rPr>
            </w:pPr>
            <w:r w:rsidRPr="005016E6">
              <w:rPr>
                <w:sz w:val="20"/>
                <w:szCs w:val="20"/>
              </w:rPr>
              <w:t>Mean diphacinone concentration in mice</w:t>
            </w:r>
          </w:p>
        </w:tc>
        <w:tc>
          <w:tcPr>
            <w:tcW w:w="840" w:type="dxa"/>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51.5</w:t>
            </w:r>
          </w:p>
        </w:tc>
        <w:tc>
          <w:tcPr>
            <w:tcW w:w="964" w:type="dxa"/>
            <w:vMerge w:val="restart"/>
            <w:vAlign w:val="center"/>
          </w:tcPr>
          <w:p w:rsidR="00995913" w:rsidRPr="005016E6" w:rsidRDefault="00995913" w:rsidP="00E11365">
            <w:pPr>
              <w:jc w:val="center"/>
              <w:rPr>
                <w:rFonts w:cs="Times New Roman"/>
                <w:sz w:val="20"/>
                <w:szCs w:val="20"/>
                <w:lang w:val="en-US"/>
              </w:rPr>
            </w:pPr>
            <w:r w:rsidRPr="005016E6">
              <w:rPr>
                <w:sz w:val="20"/>
                <w:szCs w:val="20"/>
              </w:rPr>
              <w:t>mg/kg ww</w:t>
            </w:r>
          </w:p>
          <w:p w:rsidR="0027350D" w:rsidRPr="005016E6" w:rsidRDefault="0027350D" w:rsidP="00E11365">
            <w:pPr>
              <w:jc w:val="center"/>
              <w:rPr>
                <w:rFonts w:cs="Times New Roman"/>
                <w:sz w:val="20"/>
                <w:szCs w:val="20"/>
                <w:lang w:val="en-US"/>
              </w:rPr>
            </w:pPr>
          </w:p>
        </w:tc>
        <w:tc>
          <w:tcPr>
            <w:tcW w:w="1847" w:type="dxa"/>
            <w:vMerge w:val="restart"/>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Pitt et al., 2011</w:t>
            </w:r>
          </w:p>
        </w:tc>
        <w:tc>
          <w:tcPr>
            <w:tcW w:w="3498" w:type="dxa"/>
            <w:vMerge w:val="restart"/>
            <w:vAlign w:val="center"/>
          </w:tcPr>
          <w:p w:rsidR="0027350D" w:rsidRPr="005016E6" w:rsidRDefault="008E05EF" w:rsidP="00E11365">
            <w:pPr>
              <w:rPr>
                <w:rFonts w:cs="Times New Roman"/>
                <w:sz w:val="20"/>
                <w:szCs w:val="20"/>
                <w:lang w:val="en-US"/>
              </w:rPr>
            </w:pPr>
            <w:r w:rsidRPr="005016E6">
              <w:rPr>
                <w:rFonts w:cs="Times New Roman"/>
                <w:sz w:val="20"/>
                <w:szCs w:val="20"/>
                <w:lang w:val="en-US"/>
              </w:rPr>
              <w:t>Tables 1-3 list bait consumption and weights of mice killed by diphacinone-treated pellets (50 mg/kg). Upper bound residue concentrations were calculated for each mouse and a mean and standard deviation determined. Assumed underlying lognormal distribution in model.</w:t>
            </w:r>
          </w:p>
        </w:tc>
      </w:tr>
      <w:tr w:rsidR="00995913" w:rsidTr="003E6712">
        <w:tc>
          <w:tcPr>
            <w:tcW w:w="2427" w:type="dxa"/>
            <w:vAlign w:val="center"/>
          </w:tcPr>
          <w:p w:rsidR="0027350D" w:rsidRPr="005016E6" w:rsidRDefault="00995913" w:rsidP="00E11365">
            <w:pPr>
              <w:rPr>
                <w:rFonts w:cs="Times New Roman"/>
                <w:sz w:val="20"/>
                <w:szCs w:val="20"/>
                <w:lang w:val="en-US"/>
              </w:rPr>
            </w:pPr>
            <w:r w:rsidRPr="005016E6">
              <w:rPr>
                <w:sz w:val="20"/>
                <w:szCs w:val="20"/>
              </w:rPr>
              <w:t xml:space="preserve">Standard deviation </w:t>
            </w:r>
            <w:r w:rsidR="00830D44" w:rsidRPr="005016E6">
              <w:rPr>
                <w:sz w:val="20"/>
                <w:szCs w:val="20"/>
              </w:rPr>
              <w:t xml:space="preserve">(SD) </w:t>
            </w:r>
            <w:r w:rsidRPr="005016E6">
              <w:rPr>
                <w:sz w:val="20"/>
                <w:szCs w:val="20"/>
              </w:rPr>
              <w:t>for diphacinone concentration in mice</w:t>
            </w:r>
          </w:p>
        </w:tc>
        <w:tc>
          <w:tcPr>
            <w:tcW w:w="840" w:type="dxa"/>
            <w:vAlign w:val="center"/>
          </w:tcPr>
          <w:p w:rsidR="0027350D" w:rsidRPr="005016E6" w:rsidRDefault="008E05EF" w:rsidP="00E11365">
            <w:pPr>
              <w:jc w:val="center"/>
              <w:rPr>
                <w:rFonts w:cs="Times New Roman"/>
                <w:sz w:val="20"/>
                <w:szCs w:val="20"/>
                <w:lang w:val="en-US"/>
              </w:rPr>
            </w:pPr>
            <w:r w:rsidRPr="005016E6">
              <w:rPr>
                <w:rFonts w:cs="Times New Roman"/>
                <w:sz w:val="20"/>
                <w:szCs w:val="20"/>
                <w:lang w:val="en-US"/>
              </w:rPr>
              <w:t>13.0</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0816ED" w:rsidTr="00DD739F">
        <w:tc>
          <w:tcPr>
            <w:tcW w:w="2427" w:type="dxa"/>
            <w:vAlign w:val="center"/>
          </w:tcPr>
          <w:p w:rsidR="0027350D" w:rsidRPr="005016E6" w:rsidRDefault="000816ED" w:rsidP="00E11365">
            <w:pPr>
              <w:rPr>
                <w:rFonts w:cs="Times New Roman"/>
                <w:sz w:val="20"/>
                <w:szCs w:val="20"/>
                <w:lang w:val="en-US"/>
              </w:rPr>
            </w:pPr>
            <w:r w:rsidRPr="005016E6">
              <w:rPr>
                <w:sz w:val="20"/>
                <w:szCs w:val="20"/>
              </w:rPr>
              <w:t>Proportion of gulls removed by hazing</w:t>
            </w:r>
          </w:p>
        </w:tc>
        <w:tc>
          <w:tcPr>
            <w:tcW w:w="7149" w:type="dxa"/>
            <w:gridSpan w:val="4"/>
            <w:vAlign w:val="center"/>
          </w:tcPr>
          <w:p w:rsidR="0027350D" w:rsidRPr="005016E6" w:rsidRDefault="000816ED" w:rsidP="002A57A6">
            <w:pPr>
              <w:rPr>
                <w:rFonts w:cs="Times New Roman"/>
                <w:sz w:val="20"/>
                <w:szCs w:val="20"/>
                <w:lang w:val="en-US"/>
              </w:rPr>
            </w:pPr>
            <w:r w:rsidRPr="005016E6">
              <w:rPr>
                <w:rFonts w:cs="Times New Roman"/>
                <w:sz w:val="20"/>
                <w:szCs w:val="20"/>
                <w:lang w:val="en-US"/>
              </w:rPr>
              <w:t xml:space="preserve">User choice. In this assessment, model runs </w:t>
            </w:r>
            <w:r w:rsidR="00E11365" w:rsidRPr="005016E6">
              <w:rPr>
                <w:rFonts w:cs="Times New Roman"/>
                <w:sz w:val="20"/>
                <w:szCs w:val="20"/>
                <w:lang w:val="en-US"/>
              </w:rPr>
              <w:t xml:space="preserve">were </w:t>
            </w:r>
            <w:r w:rsidRPr="005016E6">
              <w:rPr>
                <w:rFonts w:cs="Times New Roman"/>
                <w:sz w:val="20"/>
                <w:szCs w:val="20"/>
                <w:lang w:val="en-US"/>
              </w:rPr>
              <w:t xml:space="preserve">conducted for hazing success rates of </w:t>
            </w:r>
            <w:r w:rsidR="002A57A6">
              <w:rPr>
                <w:rFonts w:cs="Times New Roman"/>
                <w:sz w:val="20"/>
                <w:szCs w:val="20"/>
                <w:lang w:val="en-US"/>
              </w:rPr>
              <w:t>7</w:t>
            </w:r>
            <w:r w:rsidR="00695921" w:rsidRPr="005016E6">
              <w:rPr>
                <w:rFonts w:cs="Times New Roman"/>
                <w:sz w:val="20"/>
                <w:szCs w:val="20"/>
                <w:lang w:val="en-US"/>
              </w:rPr>
              <w:t>5-98%</w:t>
            </w:r>
          </w:p>
        </w:tc>
      </w:tr>
      <w:tr w:rsidR="000816ED" w:rsidTr="000816ED">
        <w:tc>
          <w:tcPr>
            <w:tcW w:w="2427" w:type="dxa"/>
            <w:vAlign w:val="center"/>
          </w:tcPr>
          <w:p w:rsidR="0027350D" w:rsidRPr="005016E6" w:rsidRDefault="000816ED" w:rsidP="00E11365">
            <w:pPr>
              <w:rPr>
                <w:rFonts w:cs="Times New Roman"/>
                <w:sz w:val="20"/>
                <w:szCs w:val="20"/>
                <w:lang w:val="en-US"/>
              </w:rPr>
            </w:pPr>
            <w:r w:rsidRPr="005016E6">
              <w:rPr>
                <w:sz w:val="20"/>
                <w:szCs w:val="20"/>
              </w:rPr>
              <w:t xml:space="preserve">Proportion </w:t>
            </w:r>
            <w:r w:rsidR="00E502D4">
              <w:rPr>
                <w:sz w:val="20"/>
                <w:szCs w:val="20"/>
              </w:rPr>
              <w:t xml:space="preserve">western gull </w:t>
            </w:r>
            <w:r w:rsidRPr="005016E6">
              <w:rPr>
                <w:sz w:val="20"/>
                <w:szCs w:val="20"/>
              </w:rPr>
              <w:t>females</w:t>
            </w:r>
          </w:p>
        </w:tc>
        <w:tc>
          <w:tcPr>
            <w:tcW w:w="840" w:type="dxa"/>
            <w:vAlign w:val="center"/>
          </w:tcPr>
          <w:p w:rsidR="0027350D" w:rsidRPr="005016E6" w:rsidRDefault="000816ED" w:rsidP="00E11365">
            <w:pPr>
              <w:jc w:val="center"/>
              <w:rPr>
                <w:rFonts w:cs="Times New Roman"/>
                <w:sz w:val="20"/>
                <w:szCs w:val="20"/>
                <w:lang w:val="en-US"/>
              </w:rPr>
            </w:pPr>
            <w:r w:rsidRPr="005016E6">
              <w:rPr>
                <w:sz w:val="20"/>
                <w:szCs w:val="20"/>
              </w:rPr>
              <w:t>0.5</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0816ED" w:rsidP="00E11365">
            <w:pPr>
              <w:jc w:val="center"/>
              <w:rPr>
                <w:rFonts w:cs="Times New Roman"/>
                <w:sz w:val="20"/>
                <w:szCs w:val="20"/>
                <w:lang w:val="en-US"/>
              </w:rPr>
            </w:pPr>
            <w:r w:rsidRPr="005016E6">
              <w:rPr>
                <w:rFonts w:cs="Times New Roman"/>
                <w:sz w:val="20"/>
                <w:szCs w:val="20"/>
                <w:lang w:val="en-US"/>
              </w:rPr>
              <w:t>Pierotti and Annett, 1995</w:t>
            </w:r>
          </w:p>
        </w:tc>
        <w:tc>
          <w:tcPr>
            <w:tcW w:w="3498" w:type="dxa"/>
            <w:vAlign w:val="center"/>
          </w:tcPr>
          <w:p w:rsidR="0027350D" w:rsidRPr="005016E6" w:rsidRDefault="000816ED" w:rsidP="00E11365">
            <w:pPr>
              <w:rPr>
                <w:rFonts w:cs="Times New Roman"/>
                <w:sz w:val="20"/>
                <w:szCs w:val="20"/>
                <w:lang w:val="en-US"/>
              </w:rPr>
            </w:pPr>
            <w:r w:rsidRPr="005016E6">
              <w:rPr>
                <w:rFonts w:cs="Times New Roman"/>
                <w:sz w:val="20"/>
                <w:szCs w:val="20"/>
                <w:lang w:val="en-US"/>
              </w:rPr>
              <w:t>In the south California Bight, sex ratios have been near equity since 1970s and 1980s.</w:t>
            </w:r>
          </w:p>
        </w:tc>
      </w:tr>
      <w:tr w:rsidR="000816ED" w:rsidTr="000816ED">
        <w:tc>
          <w:tcPr>
            <w:tcW w:w="2427" w:type="dxa"/>
            <w:vAlign w:val="center"/>
          </w:tcPr>
          <w:p w:rsidR="0027350D" w:rsidRPr="005016E6" w:rsidRDefault="000816ED" w:rsidP="00E11365">
            <w:pPr>
              <w:rPr>
                <w:rFonts w:cs="Times New Roman"/>
                <w:sz w:val="20"/>
                <w:szCs w:val="20"/>
                <w:lang w:val="en-US"/>
              </w:rPr>
            </w:pPr>
            <w:r w:rsidRPr="005016E6">
              <w:rPr>
                <w:sz w:val="20"/>
                <w:szCs w:val="20"/>
              </w:rPr>
              <w:t>Proportion</w:t>
            </w:r>
            <w:r w:rsidR="00E502D4">
              <w:rPr>
                <w:sz w:val="20"/>
                <w:szCs w:val="20"/>
              </w:rPr>
              <w:t xml:space="preserve"> western gull</w:t>
            </w:r>
            <w:r w:rsidRPr="005016E6">
              <w:rPr>
                <w:sz w:val="20"/>
                <w:szCs w:val="20"/>
              </w:rPr>
              <w:t xml:space="preserve"> juveniles</w:t>
            </w:r>
          </w:p>
        </w:tc>
        <w:tc>
          <w:tcPr>
            <w:tcW w:w="840" w:type="dxa"/>
            <w:vAlign w:val="center"/>
          </w:tcPr>
          <w:p w:rsidR="0027350D" w:rsidRPr="005016E6" w:rsidRDefault="000816ED" w:rsidP="00E11365">
            <w:pPr>
              <w:jc w:val="center"/>
              <w:rPr>
                <w:rFonts w:cs="Times New Roman"/>
                <w:sz w:val="20"/>
                <w:szCs w:val="20"/>
                <w:lang w:val="en-US"/>
              </w:rPr>
            </w:pPr>
            <w:r w:rsidRPr="005016E6">
              <w:rPr>
                <w:sz w:val="20"/>
                <w:szCs w:val="20"/>
              </w:rPr>
              <w:t>0.46</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0816ED" w:rsidP="00E11365">
            <w:pPr>
              <w:jc w:val="center"/>
              <w:rPr>
                <w:rFonts w:cs="Times New Roman"/>
                <w:sz w:val="20"/>
                <w:szCs w:val="20"/>
                <w:lang w:val="en-US"/>
              </w:rPr>
            </w:pPr>
            <w:r w:rsidRPr="005016E6">
              <w:rPr>
                <w:sz w:val="20"/>
                <w:szCs w:val="20"/>
              </w:rPr>
              <w:t>Nur et al., 2012</w:t>
            </w:r>
          </w:p>
        </w:tc>
        <w:tc>
          <w:tcPr>
            <w:tcW w:w="3498" w:type="dxa"/>
            <w:vAlign w:val="center"/>
          </w:tcPr>
          <w:p w:rsidR="0027350D" w:rsidRPr="005016E6" w:rsidRDefault="000816ED" w:rsidP="00E11365">
            <w:pPr>
              <w:rPr>
                <w:rFonts w:cs="Times New Roman"/>
                <w:sz w:val="20"/>
                <w:szCs w:val="20"/>
                <w:lang w:val="en-US"/>
              </w:rPr>
            </w:pPr>
            <w:r w:rsidRPr="005016E6">
              <w:rPr>
                <w:sz w:val="20"/>
                <w:szCs w:val="20"/>
              </w:rPr>
              <w:t>There are ~32,200 individuals of which 46% are subadults and non-breeding adults.</w:t>
            </w: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Mean </w:t>
            </w:r>
            <w:r w:rsidR="00E502D4">
              <w:rPr>
                <w:sz w:val="20"/>
                <w:szCs w:val="20"/>
              </w:rPr>
              <w:t xml:space="preserve">western gull </w:t>
            </w:r>
            <w:r w:rsidRPr="005016E6">
              <w:rPr>
                <w:sz w:val="20"/>
                <w:szCs w:val="20"/>
              </w:rPr>
              <w:t>adult body weight</w:t>
            </w:r>
            <w:r w:rsidR="00956C75" w:rsidRPr="005016E6">
              <w:rPr>
                <w:sz w:val="20"/>
                <w:szCs w:val="20"/>
              </w:rPr>
              <w:t xml:space="preserve"> (BW)</w:t>
            </w:r>
            <w:r w:rsidRPr="005016E6">
              <w:rPr>
                <w:sz w:val="20"/>
                <w:szCs w:val="20"/>
              </w:rPr>
              <w:t xml:space="preserve"> - female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879</w:t>
            </w:r>
          </w:p>
        </w:tc>
        <w:tc>
          <w:tcPr>
            <w:tcW w:w="964" w:type="dxa"/>
            <w:vMerge w:val="restart"/>
            <w:vAlign w:val="center"/>
          </w:tcPr>
          <w:p w:rsidR="0027350D" w:rsidRPr="005016E6" w:rsidRDefault="00830D44" w:rsidP="00E11365">
            <w:pPr>
              <w:jc w:val="center"/>
              <w:rPr>
                <w:rFonts w:cs="Times New Roman"/>
                <w:sz w:val="20"/>
                <w:szCs w:val="20"/>
                <w:lang w:val="en-US"/>
              </w:rPr>
            </w:pPr>
            <w:r w:rsidRPr="005016E6">
              <w:rPr>
                <w:rFonts w:cs="Times New Roman"/>
                <w:sz w:val="20"/>
                <w:szCs w:val="20"/>
                <w:lang w:val="en-US"/>
              </w:rPr>
              <w:t>g</w:t>
            </w:r>
          </w:p>
        </w:tc>
        <w:tc>
          <w:tcPr>
            <w:tcW w:w="1847" w:type="dxa"/>
            <w:vMerge w:val="restart"/>
            <w:vAlign w:val="center"/>
          </w:tcPr>
          <w:p w:rsidR="0027350D" w:rsidRPr="005016E6" w:rsidRDefault="00830D44" w:rsidP="00E11365">
            <w:pPr>
              <w:jc w:val="center"/>
              <w:rPr>
                <w:rFonts w:cs="Times New Roman"/>
                <w:sz w:val="20"/>
                <w:szCs w:val="20"/>
                <w:lang w:val="en-US"/>
              </w:rPr>
            </w:pPr>
            <w:r w:rsidRPr="005016E6">
              <w:rPr>
                <w:rFonts w:cs="Times New Roman"/>
                <w:sz w:val="20"/>
                <w:szCs w:val="20"/>
                <w:lang w:val="en-US"/>
              </w:rPr>
              <w:t>Pierotti, 1981</w:t>
            </w:r>
          </w:p>
        </w:tc>
        <w:tc>
          <w:tcPr>
            <w:tcW w:w="3498" w:type="dxa"/>
            <w:vMerge w:val="restart"/>
            <w:vAlign w:val="center"/>
          </w:tcPr>
          <w:p w:rsidR="0027350D" w:rsidRPr="005016E6" w:rsidRDefault="00830D44" w:rsidP="00E11365">
            <w:pPr>
              <w:rPr>
                <w:rFonts w:cs="Times New Roman"/>
                <w:sz w:val="20"/>
                <w:szCs w:val="20"/>
                <w:lang w:val="en-US"/>
              </w:rPr>
            </w:pPr>
            <w:r w:rsidRPr="005016E6">
              <w:rPr>
                <w:rFonts w:cs="Times New Roman"/>
                <w:sz w:val="20"/>
                <w:szCs w:val="20"/>
                <w:lang w:val="en-US"/>
              </w:rPr>
              <w:t>Measurements taken on SEFI with sample sizes of 21 and 15 for males and females, respectively. Model assumes underlying normal distribution.</w:t>
            </w: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SD of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female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78</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Mean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1,136</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830D44" w:rsidTr="00830D44">
        <w:tc>
          <w:tcPr>
            <w:tcW w:w="2427" w:type="dxa"/>
            <w:vAlign w:val="center"/>
          </w:tcPr>
          <w:p w:rsidR="0027350D" w:rsidRPr="005016E6" w:rsidRDefault="00830D44" w:rsidP="00E11365">
            <w:pPr>
              <w:rPr>
                <w:rFonts w:cs="Times New Roman"/>
                <w:sz w:val="20"/>
                <w:szCs w:val="20"/>
                <w:lang w:val="en-US"/>
              </w:rPr>
            </w:pPr>
            <w:r w:rsidRPr="005016E6">
              <w:rPr>
                <w:sz w:val="20"/>
                <w:szCs w:val="20"/>
              </w:rPr>
              <w:t xml:space="preserve">SD of </w:t>
            </w:r>
            <w:r w:rsidR="00E502D4">
              <w:rPr>
                <w:sz w:val="20"/>
                <w:szCs w:val="20"/>
              </w:rPr>
              <w:t xml:space="preserve">western gull </w:t>
            </w:r>
            <w:r w:rsidRPr="005016E6">
              <w:rPr>
                <w:sz w:val="20"/>
                <w:szCs w:val="20"/>
              </w:rPr>
              <w:t xml:space="preserve">adult </w:t>
            </w:r>
            <w:r w:rsidR="00956C75" w:rsidRPr="005016E6">
              <w:rPr>
                <w:sz w:val="20"/>
                <w:szCs w:val="20"/>
              </w:rPr>
              <w:t>BW</w:t>
            </w:r>
            <w:r w:rsidRPr="005016E6">
              <w:rPr>
                <w:sz w:val="20"/>
                <w:szCs w:val="20"/>
              </w:rPr>
              <w:t xml:space="preserve"> - male</w:t>
            </w:r>
          </w:p>
        </w:tc>
        <w:tc>
          <w:tcPr>
            <w:tcW w:w="840" w:type="dxa"/>
            <w:vAlign w:val="center"/>
          </w:tcPr>
          <w:p w:rsidR="0027350D" w:rsidRPr="005016E6" w:rsidRDefault="00830D44" w:rsidP="00E11365">
            <w:pPr>
              <w:jc w:val="center"/>
              <w:rPr>
                <w:rFonts w:cs="Times New Roman"/>
                <w:sz w:val="20"/>
                <w:szCs w:val="20"/>
                <w:lang w:val="en-US"/>
              </w:rPr>
            </w:pPr>
            <w:r w:rsidRPr="005016E6">
              <w:rPr>
                <w:sz w:val="20"/>
                <w:szCs w:val="20"/>
              </w:rPr>
              <w:t>47</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956C75" w:rsidTr="00956C75">
        <w:tc>
          <w:tcPr>
            <w:tcW w:w="2427" w:type="dxa"/>
            <w:vAlign w:val="center"/>
          </w:tcPr>
          <w:p w:rsidR="0027350D" w:rsidRPr="005016E6" w:rsidRDefault="00956C75" w:rsidP="00E11365">
            <w:pPr>
              <w:rPr>
                <w:rFonts w:cs="Times New Roman"/>
                <w:sz w:val="20"/>
                <w:szCs w:val="20"/>
                <w:lang w:val="en-US"/>
              </w:rPr>
            </w:pPr>
            <w:r w:rsidRPr="005016E6">
              <w:rPr>
                <w:sz w:val="20"/>
                <w:szCs w:val="20"/>
              </w:rPr>
              <w:t xml:space="preserve">Juvenile </w:t>
            </w:r>
            <w:r w:rsidR="00E502D4">
              <w:rPr>
                <w:sz w:val="20"/>
                <w:szCs w:val="20"/>
              </w:rPr>
              <w:t xml:space="preserve">western gull </w:t>
            </w:r>
            <w:r w:rsidRPr="005016E6">
              <w:rPr>
                <w:sz w:val="20"/>
                <w:szCs w:val="20"/>
              </w:rPr>
              <w:t>BW relative to adult body weight</w:t>
            </w:r>
          </w:p>
        </w:tc>
        <w:tc>
          <w:tcPr>
            <w:tcW w:w="840" w:type="dxa"/>
            <w:vAlign w:val="center"/>
          </w:tcPr>
          <w:p w:rsidR="0027350D" w:rsidRPr="005016E6" w:rsidRDefault="00956C75" w:rsidP="00E11365">
            <w:pPr>
              <w:jc w:val="center"/>
              <w:rPr>
                <w:rFonts w:cs="Times New Roman"/>
                <w:sz w:val="20"/>
                <w:szCs w:val="20"/>
                <w:lang w:val="en-US"/>
              </w:rPr>
            </w:pPr>
            <w:r w:rsidRPr="005016E6">
              <w:rPr>
                <w:sz w:val="20"/>
                <w:szCs w:val="20"/>
              </w:rPr>
              <w:t>0.875</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956C75" w:rsidP="00E11365">
            <w:pPr>
              <w:jc w:val="center"/>
              <w:rPr>
                <w:rFonts w:cs="Times New Roman"/>
                <w:sz w:val="20"/>
                <w:szCs w:val="20"/>
                <w:lang w:val="en-US"/>
              </w:rPr>
            </w:pPr>
            <w:r w:rsidRPr="005016E6">
              <w:rPr>
                <w:sz w:val="20"/>
                <w:szCs w:val="20"/>
              </w:rPr>
              <w:t>Penniman et al., 1990</w:t>
            </w:r>
          </w:p>
        </w:tc>
        <w:tc>
          <w:tcPr>
            <w:tcW w:w="3498" w:type="dxa"/>
            <w:vAlign w:val="center"/>
          </w:tcPr>
          <w:p w:rsidR="0027350D" w:rsidRPr="005016E6" w:rsidRDefault="00956C75" w:rsidP="00E11365">
            <w:pPr>
              <w:rPr>
                <w:rFonts w:cs="Times New Roman"/>
                <w:sz w:val="20"/>
                <w:szCs w:val="20"/>
                <w:lang w:val="en-US"/>
              </w:rPr>
            </w:pPr>
            <w:r w:rsidRPr="005016E6">
              <w:rPr>
                <w:rFonts w:cs="Times New Roman"/>
                <w:sz w:val="20"/>
                <w:szCs w:val="20"/>
                <w:lang w:val="en-US"/>
              </w:rPr>
              <w:t>See Table 7.5 in source. Model assumes underlying normal distribution.</w:t>
            </w:r>
          </w:p>
        </w:tc>
      </w:tr>
      <w:tr w:rsidR="008A5645" w:rsidTr="00DD739F">
        <w:tc>
          <w:tcPr>
            <w:tcW w:w="2427" w:type="dxa"/>
            <w:vAlign w:val="center"/>
          </w:tcPr>
          <w:p w:rsidR="0027350D" w:rsidRPr="005016E6" w:rsidRDefault="008A5645" w:rsidP="00E11365">
            <w:pPr>
              <w:rPr>
                <w:rFonts w:cs="Times New Roman"/>
                <w:sz w:val="20"/>
                <w:szCs w:val="20"/>
                <w:lang w:val="en-US"/>
              </w:rPr>
            </w:pPr>
            <w:r w:rsidRPr="005016E6">
              <w:rPr>
                <w:sz w:val="20"/>
                <w:szCs w:val="20"/>
              </w:rPr>
              <w:t xml:space="preserve">Daily probability of </w:t>
            </w:r>
            <w:r w:rsidR="00E502D4">
              <w:rPr>
                <w:sz w:val="20"/>
                <w:szCs w:val="20"/>
              </w:rPr>
              <w:t xml:space="preserve">gull </w:t>
            </w:r>
            <w:r w:rsidRPr="005016E6">
              <w:rPr>
                <w:sz w:val="20"/>
                <w:szCs w:val="20"/>
              </w:rPr>
              <w:t>consuming mice</w:t>
            </w:r>
            <w:r w:rsidR="002C07B1">
              <w:rPr>
                <w:sz w:val="20"/>
                <w:szCs w:val="20"/>
              </w:rPr>
              <w:t xml:space="preserve"> (unhazed gulls)</w:t>
            </w:r>
          </w:p>
        </w:tc>
        <w:tc>
          <w:tcPr>
            <w:tcW w:w="840" w:type="dxa"/>
            <w:vAlign w:val="center"/>
          </w:tcPr>
          <w:p w:rsidR="0027350D" w:rsidRPr="005016E6" w:rsidRDefault="008A5645" w:rsidP="00E11365">
            <w:pPr>
              <w:jc w:val="center"/>
              <w:rPr>
                <w:rFonts w:cs="Times New Roman"/>
                <w:sz w:val="20"/>
                <w:szCs w:val="20"/>
                <w:lang w:val="en-US"/>
              </w:rPr>
            </w:pPr>
            <w:r w:rsidRPr="005016E6">
              <w:rPr>
                <w:sz w:val="20"/>
                <w:szCs w:val="20"/>
              </w:rPr>
              <w:t>0.125</w:t>
            </w:r>
          </w:p>
        </w:tc>
        <w:tc>
          <w:tcPr>
            <w:tcW w:w="964" w:type="dxa"/>
            <w:vAlign w:val="center"/>
          </w:tcPr>
          <w:p w:rsidR="0027350D" w:rsidRPr="005016E6" w:rsidRDefault="0027350D" w:rsidP="00E11365">
            <w:pPr>
              <w:jc w:val="center"/>
              <w:rPr>
                <w:rFonts w:cs="Times New Roman"/>
                <w:sz w:val="20"/>
                <w:szCs w:val="20"/>
                <w:lang w:val="en-US"/>
              </w:rPr>
            </w:pPr>
          </w:p>
        </w:tc>
        <w:tc>
          <w:tcPr>
            <w:tcW w:w="5345" w:type="dxa"/>
            <w:gridSpan w:val="2"/>
            <w:vAlign w:val="center"/>
          </w:tcPr>
          <w:p w:rsidR="0027350D" w:rsidRPr="005016E6" w:rsidRDefault="008A5645" w:rsidP="00E11365">
            <w:pPr>
              <w:rPr>
                <w:rFonts w:cs="Times New Roman"/>
                <w:sz w:val="20"/>
                <w:szCs w:val="20"/>
                <w:lang w:val="en-US"/>
              </w:rPr>
            </w:pPr>
            <w:r w:rsidRPr="005016E6">
              <w:rPr>
                <w:sz w:val="20"/>
                <w:szCs w:val="20"/>
              </w:rPr>
              <w:t>Proportion of gulls consuming dead/dosed mice is estimated to vary between 0.01-0.25 (model assumes 0.125) assuming 100% mice availability</w:t>
            </w:r>
            <w:r w:rsidR="002C07B1">
              <w:rPr>
                <w:sz w:val="20"/>
                <w:szCs w:val="20"/>
              </w:rPr>
              <w:t xml:space="preserve"> for unhazed gulls</w:t>
            </w:r>
            <w:r w:rsidRPr="005016E6">
              <w:rPr>
                <w:sz w:val="20"/>
                <w:szCs w:val="20"/>
              </w:rPr>
              <w:t>.</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 xml:space="preserve">Daily probability of </w:t>
            </w:r>
            <w:r>
              <w:rPr>
                <w:sz w:val="20"/>
                <w:szCs w:val="20"/>
              </w:rPr>
              <w:t xml:space="preserve">gull </w:t>
            </w:r>
            <w:r w:rsidRPr="005016E6">
              <w:rPr>
                <w:sz w:val="20"/>
                <w:szCs w:val="20"/>
              </w:rPr>
              <w:t>consuming pellets</w:t>
            </w:r>
            <w:r>
              <w:rPr>
                <w:sz w:val="20"/>
                <w:szCs w:val="20"/>
              </w:rPr>
              <w:t xml:space="preserve"> (unhazed gulls)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0.25</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r w:rsidRPr="005016E6">
              <w:rPr>
                <w:sz w:val="20"/>
                <w:szCs w:val="20"/>
              </w:rPr>
              <w:t>2010 SEFI field study</w:t>
            </w:r>
          </w:p>
        </w:tc>
        <w:tc>
          <w:tcPr>
            <w:tcW w:w="3498" w:type="dxa"/>
            <w:vAlign w:val="center"/>
          </w:tcPr>
          <w:p w:rsidR="009A764B" w:rsidRPr="005016E6" w:rsidRDefault="009A764B" w:rsidP="00E11365">
            <w:pPr>
              <w:rPr>
                <w:rFonts w:cs="Times New Roman"/>
                <w:sz w:val="20"/>
                <w:szCs w:val="20"/>
                <w:lang w:val="en-US"/>
              </w:rPr>
            </w:pPr>
            <w:r w:rsidRPr="005016E6">
              <w:rPr>
                <w:sz w:val="20"/>
                <w:szCs w:val="20"/>
              </w:rPr>
              <w:t xml:space="preserve">Observational and fecal count data indicated </w:t>
            </w:r>
            <w:r>
              <w:rPr>
                <w:sz w:val="20"/>
                <w:szCs w:val="20"/>
              </w:rPr>
              <w:t xml:space="preserve">an average of </w:t>
            </w:r>
            <w:r w:rsidRPr="005016E6">
              <w:rPr>
                <w:sz w:val="20"/>
                <w:szCs w:val="20"/>
              </w:rPr>
              <w:t xml:space="preserve">22-25% of </w:t>
            </w:r>
            <w:r>
              <w:rPr>
                <w:sz w:val="20"/>
                <w:szCs w:val="20"/>
              </w:rPr>
              <w:t xml:space="preserve">unhazed </w:t>
            </w:r>
            <w:r w:rsidRPr="005016E6">
              <w:rPr>
                <w:sz w:val="20"/>
                <w:szCs w:val="20"/>
              </w:rPr>
              <w:t xml:space="preserve">gulls </w:t>
            </w:r>
            <w:r>
              <w:rPr>
                <w:sz w:val="20"/>
                <w:szCs w:val="20"/>
              </w:rPr>
              <w:t xml:space="preserve">had </w:t>
            </w:r>
            <w:r w:rsidRPr="005016E6">
              <w:rPr>
                <w:sz w:val="20"/>
                <w:szCs w:val="20"/>
              </w:rPr>
              <w:t xml:space="preserve">foraged on pellets. </w:t>
            </w:r>
            <w:r w:rsidR="00CD6A63" w:rsidRPr="00FF7AAF">
              <w:rPr>
                <w:rFonts w:cs="Times New Roman"/>
                <w:sz w:val="20"/>
                <w:szCs w:val="20"/>
              </w:rPr>
              <w:t>Initial daily rates are much lower, ranging from 0 to 29% during first five days</w:t>
            </w:r>
            <w:r w:rsidR="00CD6A63">
              <w:rPr>
                <w:rFonts w:cs="Times New Roman"/>
                <w:sz w:val="20"/>
                <w:szCs w:val="20"/>
              </w:rPr>
              <w:t xml:space="preserve"> and thus this analysis was conservative.</w:t>
            </w:r>
          </w:p>
        </w:tc>
      </w:tr>
      <w:tr w:rsidR="009A764B" w:rsidTr="00DD739F">
        <w:tc>
          <w:tcPr>
            <w:tcW w:w="2427" w:type="dxa"/>
            <w:vAlign w:val="center"/>
          </w:tcPr>
          <w:p w:rsidR="009A764B" w:rsidRPr="005016E6" w:rsidRDefault="009A764B" w:rsidP="006C3A23">
            <w:pPr>
              <w:rPr>
                <w:rFonts w:cs="Times New Roman"/>
                <w:sz w:val="20"/>
                <w:szCs w:val="20"/>
                <w:lang w:val="en-US"/>
              </w:rPr>
            </w:pPr>
            <w:r>
              <w:rPr>
                <w:sz w:val="20"/>
                <w:szCs w:val="20"/>
              </w:rPr>
              <w:t>Conditional probability</w:t>
            </w:r>
            <w:r w:rsidRPr="005016E6">
              <w:rPr>
                <w:sz w:val="20"/>
                <w:szCs w:val="20"/>
              </w:rPr>
              <w:t xml:space="preserve"> for consuming mice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0.9</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Once birds learn to consume pellets, they will be more likely to consume pellets on subsequent days. No data are available, however, to quantify this behavior.</w:t>
            </w:r>
          </w:p>
        </w:tc>
      </w:tr>
      <w:tr w:rsidR="009A764B" w:rsidTr="00DD739F">
        <w:tc>
          <w:tcPr>
            <w:tcW w:w="2427" w:type="dxa"/>
            <w:vAlign w:val="center"/>
          </w:tcPr>
          <w:p w:rsidR="009A764B" w:rsidRPr="005016E6" w:rsidRDefault="009A764B" w:rsidP="006C3A23">
            <w:pPr>
              <w:rPr>
                <w:rFonts w:cs="Times New Roman"/>
                <w:sz w:val="20"/>
                <w:szCs w:val="20"/>
                <w:lang w:val="en-US"/>
              </w:rPr>
            </w:pPr>
            <w:r>
              <w:rPr>
                <w:sz w:val="20"/>
                <w:szCs w:val="20"/>
              </w:rPr>
              <w:t>Conditional probability</w:t>
            </w:r>
            <w:r w:rsidRPr="005016E6">
              <w:rPr>
                <w:sz w:val="20"/>
                <w:szCs w:val="20"/>
              </w:rPr>
              <w:t xml:space="preserve"> for consuming pellets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0.9</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Once birds learn to consume pellets, they will be more likely to consume pellets on subsequent days. No data are available, however, to quantify this behavior.</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If mice consumed, Poisson rate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0.2</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 xml:space="preserve">This value is used as a rate in a Poisson distribution. By adding 1 to the Poisson randomly generated value with a rate of 0.2 suggests an upper limit of 3 mice/gull, which is approximately the maximum value suggested by daily energetic requirements. </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If pellets consumed, Poisson rate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15</w:t>
            </w:r>
          </w:p>
        </w:tc>
        <w:tc>
          <w:tcPr>
            <w:tcW w:w="964" w:type="dxa"/>
            <w:vAlign w:val="center"/>
          </w:tcPr>
          <w:p w:rsidR="009A764B" w:rsidRPr="005016E6" w:rsidRDefault="009A764B" w:rsidP="00E11365">
            <w:pPr>
              <w:jc w:val="center"/>
              <w:rPr>
                <w:rFonts w:cs="Times New Roman"/>
                <w:sz w:val="20"/>
                <w:szCs w:val="20"/>
                <w:lang w:val="en-US"/>
              </w:rPr>
            </w:pPr>
          </w:p>
        </w:tc>
        <w:tc>
          <w:tcPr>
            <w:tcW w:w="5345" w:type="dxa"/>
            <w:gridSpan w:val="2"/>
            <w:vAlign w:val="center"/>
          </w:tcPr>
          <w:p w:rsidR="009A764B" w:rsidRPr="005016E6" w:rsidRDefault="009A764B" w:rsidP="00E11365">
            <w:pPr>
              <w:rPr>
                <w:rFonts w:cs="Times New Roman"/>
                <w:sz w:val="20"/>
                <w:szCs w:val="20"/>
                <w:lang w:val="en-US"/>
              </w:rPr>
            </w:pPr>
            <w:r w:rsidRPr="005016E6">
              <w:rPr>
                <w:sz w:val="20"/>
                <w:szCs w:val="20"/>
              </w:rPr>
              <w:t xml:space="preserve">A Poisson rate of 15 suggests an upper limit of 30 pellets/gull, which is approximately the maximum value suggested by daily energetic requirements. Western gulls foraging on pellets are highly unlikely to eat just one. A rate of 15 would make this outcome unlikely. </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Lag time for consuming mice</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5</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days</w:t>
            </w:r>
          </w:p>
        </w:tc>
        <w:tc>
          <w:tcPr>
            <w:tcW w:w="1847" w:type="dxa"/>
            <w:vAlign w:val="center"/>
          </w:tcPr>
          <w:p w:rsidR="009A764B" w:rsidRPr="005016E6" w:rsidRDefault="009A764B" w:rsidP="00E11365">
            <w:pPr>
              <w:jc w:val="center"/>
              <w:rPr>
                <w:rFonts w:cs="Times New Roman"/>
                <w:sz w:val="20"/>
                <w:szCs w:val="20"/>
                <w:lang w:val="en-US"/>
              </w:rPr>
            </w:pPr>
            <w:r w:rsidRPr="005016E6">
              <w:rPr>
                <w:sz w:val="20"/>
                <w:szCs w:val="20"/>
              </w:rPr>
              <w:t>Fisher, 2009 (Trial 3 data)</w:t>
            </w:r>
          </w:p>
        </w:tc>
        <w:tc>
          <w:tcPr>
            <w:tcW w:w="3498" w:type="dxa"/>
            <w:vAlign w:val="center"/>
          </w:tcPr>
          <w:p w:rsidR="009A764B" w:rsidRPr="005016E6" w:rsidRDefault="009A764B" w:rsidP="0003657A">
            <w:pPr>
              <w:rPr>
                <w:rFonts w:cs="Times New Roman"/>
                <w:sz w:val="20"/>
                <w:szCs w:val="20"/>
                <w:lang w:val="en-US"/>
              </w:rPr>
            </w:pPr>
            <w:r w:rsidRPr="005016E6">
              <w:rPr>
                <w:sz w:val="20"/>
                <w:szCs w:val="20"/>
              </w:rPr>
              <w:t xml:space="preserve">Mice are not normally part of the gull diet on </w:t>
            </w:r>
            <w:r>
              <w:rPr>
                <w:sz w:val="20"/>
                <w:szCs w:val="20"/>
              </w:rPr>
              <w:t>SFI</w:t>
            </w:r>
            <w:r w:rsidRPr="005016E6">
              <w:rPr>
                <w:sz w:val="20"/>
                <w:szCs w:val="20"/>
              </w:rPr>
              <w:t xml:space="preserve">. However, once symptoms </w:t>
            </w:r>
            <w:r>
              <w:rPr>
                <w:sz w:val="20"/>
                <w:szCs w:val="20"/>
              </w:rPr>
              <w:t xml:space="preserve">of exposure </w:t>
            </w:r>
            <w:r w:rsidRPr="005016E6">
              <w:rPr>
                <w:sz w:val="20"/>
                <w:szCs w:val="20"/>
              </w:rPr>
              <w:t>begin (5 days), mice are easier prey.</w:t>
            </w:r>
          </w:p>
        </w:tc>
      </w:tr>
      <w:tr w:rsidR="009A764B" w:rsidTr="008A5645">
        <w:tc>
          <w:tcPr>
            <w:tcW w:w="2427" w:type="dxa"/>
            <w:vAlign w:val="center"/>
          </w:tcPr>
          <w:p w:rsidR="009A764B" w:rsidRPr="005016E6" w:rsidRDefault="009A764B" w:rsidP="00E11365">
            <w:pPr>
              <w:rPr>
                <w:rFonts w:cs="Times New Roman"/>
                <w:sz w:val="20"/>
                <w:szCs w:val="20"/>
                <w:lang w:val="en-US"/>
              </w:rPr>
            </w:pPr>
            <w:r w:rsidRPr="005016E6">
              <w:rPr>
                <w:sz w:val="20"/>
                <w:szCs w:val="20"/>
              </w:rPr>
              <w:t>Lag time for consuming pellets</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1</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w:t>
            </w:r>
          </w:p>
        </w:tc>
        <w:tc>
          <w:tcPr>
            <w:tcW w:w="1847" w:type="dxa"/>
            <w:vAlign w:val="center"/>
          </w:tcPr>
          <w:p w:rsidR="009A764B" w:rsidRPr="005016E6" w:rsidRDefault="009A764B" w:rsidP="00E11365">
            <w:pPr>
              <w:jc w:val="center"/>
              <w:rPr>
                <w:rFonts w:cs="Times New Roman"/>
                <w:sz w:val="20"/>
                <w:szCs w:val="20"/>
                <w:lang w:val="en-US"/>
              </w:rPr>
            </w:pPr>
            <w:r>
              <w:rPr>
                <w:sz w:val="20"/>
                <w:szCs w:val="20"/>
              </w:rPr>
              <w:t>Grout</w:t>
            </w:r>
            <w:r w:rsidR="0003657A">
              <w:rPr>
                <w:sz w:val="20"/>
                <w:szCs w:val="20"/>
              </w:rPr>
              <w:t>,</w:t>
            </w:r>
            <w:r>
              <w:rPr>
                <w:sz w:val="20"/>
                <w:szCs w:val="20"/>
              </w:rPr>
              <w:t xml:space="preserve"> 2012</w:t>
            </w:r>
          </w:p>
        </w:tc>
        <w:tc>
          <w:tcPr>
            <w:tcW w:w="3498" w:type="dxa"/>
            <w:vAlign w:val="center"/>
          </w:tcPr>
          <w:p w:rsidR="009A764B" w:rsidRPr="005016E6" w:rsidRDefault="009A764B" w:rsidP="00E11365">
            <w:pPr>
              <w:rPr>
                <w:rFonts w:cs="Times New Roman"/>
                <w:sz w:val="20"/>
                <w:szCs w:val="20"/>
                <w:lang w:val="en-US"/>
              </w:rPr>
            </w:pPr>
            <w:r w:rsidRPr="005016E6">
              <w:rPr>
                <w:sz w:val="20"/>
                <w:szCs w:val="20"/>
              </w:rPr>
              <w:t>Trial showed no consumption on day of application but consumption began 1 day later.</w:t>
            </w:r>
          </w:p>
        </w:tc>
      </w:tr>
      <w:tr w:rsidR="009A764B" w:rsidTr="00DD739F">
        <w:tc>
          <w:tcPr>
            <w:tcW w:w="2427" w:type="dxa"/>
            <w:vAlign w:val="center"/>
          </w:tcPr>
          <w:p w:rsidR="009A764B" w:rsidRPr="005016E6" w:rsidRDefault="009A764B" w:rsidP="00E11365">
            <w:pPr>
              <w:rPr>
                <w:rFonts w:cs="Times New Roman"/>
                <w:sz w:val="20"/>
                <w:szCs w:val="20"/>
                <w:lang w:val="en-US"/>
              </w:rPr>
            </w:pPr>
            <w:r w:rsidRPr="005016E6">
              <w:rPr>
                <w:sz w:val="20"/>
                <w:szCs w:val="20"/>
              </w:rPr>
              <w:t>Proportion intoxicated mice below ground - brodifacoum</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0.87</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Taylor, 1993; Howald, 1997; Buckalew et al., 2008</w:t>
            </w:r>
          </w:p>
        </w:tc>
        <w:tc>
          <w:tcPr>
            <w:tcW w:w="3498" w:type="dxa"/>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Mice generally retreat to burrows following onset of symptoms stemming from exposure to brodifacoum.</w:t>
            </w:r>
          </w:p>
        </w:tc>
      </w:tr>
      <w:tr w:rsidR="009A764B" w:rsidTr="00DD739F">
        <w:tc>
          <w:tcPr>
            <w:tcW w:w="2427" w:type="dxa"/>
            <w:vAlign w:val="center"/>
          </w:tcPr>
          <w:p w:rsidR="009A764B" w:rsidRPr="005016E6" w:rsidRDefault="009A764B" w:rsidP="00CD6A63">
            <w:pPr>
              <w:rPr>
                <w:rFonts w:cs="Times New Roman"/>
                <w:sz w:val="20"/>
                <w:szCs w:val="20"/>
                <w:lang w:val="en-US"/>
              </w:rPr>
            </w:pPr>
            <w:r w:rsidRPr="005016E6">
              <w:rPr>
                <w:sz w:val="20"/>
                <w:szCs w:val="20"/>
              </w:rPr>
              <w:t xml:space="preserve">Proportion intoxicated mice below ground – </w:t>
            </w:r>
            <w:r w:rsidR="00CD6A63" w:rsidRPr="005016E6">
              <w:rPr>
                <w:sz w:val="20"/>
                <w:szCs w:val="20"/>
              </w:rPr>
              <w:t>diphacinone</w:t>
            </w:r>
            <w:r w:rsidR="00CD6A63">
              <w:rPr>
                <w:sz w:val="20"/>
                <w:szCs w:val="20"/>
                <w:vertAlign w:val="superscript"/>
              </w:rPr>
              <w:t>2</w:t>
            </w:r>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0</w:t>
            </w:r>
          </w:p>
        </w:tc>
        <w:tc>
          <w:tcPr>
            <w:tcW w:w="964" w:type="dxa"/>
            <w:vAlign w:val="center"/>
          </w:tcPr>
          <w:p w:rsidR="009A764B" w:rsidRPr="005016E6" w:rsidRDefault="009A764B" w:rsidP="00E11365">
            <w:pPr>
              <w:jc w:val="center"/>
              <w:rPr>
                <w:rFonts w:cs="Times New Roman"/>
                <w:sz w:val="20"/>
                <w:szCs w:val="20"/>
                <w:lang w:val="en-US"/>
              </w:rPr>
            </w:pPr>
          </w:p>
        </w:tc>
        <w:tc>
          <w:tcPr>
            <w:tcW w:w="1847" w:type="dxa"/>
            <w:vAlign w:val="center"/>
          </w:tcPr>
          <w:p w:rsidR="009A764B" w:rsidRPr="005016E6" w:rsidRDefault="009A764B" w:rsidP="00E11365">
            <w:pPr>
              <w:jc w:val="center"/>
              <w:rPr>
                <w:rFonts w:cs="Times New Roman"/>
                <w:sz w:val="20"/>
                <w:szCs w:val="20"/>
                <w:lang w:val="en-US"/>
              </w:rPr>
            </w:pPr>
          </w:p>
        </w:tc>
        <w:tc>
          <w:tcPr>
            <w:tcW w:w="3498" w:type="dxa"/>
            <w:vAlign w:val="center"/>
          </w:tcPr>
          <w:p w:rsidR="009A764B" w:rsidRPr="005016E6" w:rsidRDefault="009A764B" w:rsidP="0003657A">
            <w:pPr>
              <w:rPr>
                <w:rFonts w:cs="Times New Roman"/>
                <w:sz w:val="20"/>
                <w:szCs w:val="20"/>
                <w:lang w:val="en-US"/>
              </w:rPr>
            </w:pPr>
            <w:r w:rsidRPr="005016E6">
              <w:rPr>
                <w:rFonts w:cs="Times New Roman"/>
                <w:sz w:val="20"/>
                <w:szCs w:val="20"/>
                <w:lang w:val="en-US"/>
              </w:rPr>
              <w:t>No information was available for diphacinone</w:t>
            </w:r>
            <w:proofErr w:type="gramStart"/>
            <w:r w:rsidRPr="005016E6">
              <w:rPr>
                <w:rFonts w:cs="Times New Roman"/>
                <w:sz w:val="20"/>
                <w:szCs w:val="20"/>
                <w:lang w:val="en-US"/>
              </w:rPr>
              <w:t>..</w:t>
            </w:r>
            <w:proofErr w:type="gramEnd"/>
          </w:p>
        </w:tc>
      </w:tr>
      <w:tr w:rsidR="009A764B" w:rsidTr="0077795B">
        <w:trPr>
          <w:trHeight w:val="377"/>
        </w:trPr>
        <w:tc>
          <w:tcPr>
            <w:tcW w:w="2427" w:type="dxa"/>
            <w:vAlign w:val="center"/>
          </w:tcPr>
          <w:p w:rsidR="009A764B" w:rsidRPr="005016E6" w:rsidRDefault="009A764B" w:rsidP="00E11365">
            <w:pPr>
              <w:rPr>
                <w:rFonts w:cs="Times New Roman"/>
                <w:sz w:val="20"/>
                <w:szCs w:val="20"/>
                <w:lang w:val="en-US"/>
              </w:rPr>
            </w:pPr>
            <w:r>
              <w:rPr>
                <w:sz w:val="20"/>
                <w:szCs w:val="20"/>
              </w:rPr>
              <w:t xml:space="preserve">Gull </w:t>
            </w:r>
            <w:r w:rsidRPr="005016E6">
              <w:rPr>
                <w:sz w:val="20"/>
                <w:szCs w:val="20"/>
              </w:rPr>
              <w:t>LD50 for brodifacoum</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0.588</w:t>
            </w:r>
          </w:p>
        </w:tc>
        <w:tc>
          <w:tcPr>
            <w:tcW w:w="964" w:type="dxa"/>
            <w:vMerge w:val="restart"/>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mg/kg bw</w:t>
            </w:r>
          </w:p>
        </w:tc>
        <w:tc>
          <w:tcPr>
            <w:tcW w:w="1847" w:type="dxa"/>
            <w:vMerge w:val="restart"/>
            <w:vAlign w:val="center"/>
          </w:tcPr>
          <w:p w:rsidR="009A764B" w:rsidRPr="005016E6" w:rsidRDefault="009A764B" w:rsidP="00B9220D">
            <w:pPr>
              <w:jc w:val="center"/>
              <w:rPr>
                <w:rFonts w:cs="Times New Roman"/>
                <w:sz w:val="20"/>
                <w:szCs w:val="20"/>
                <w:lang w:val="en-US"/>
              </w:rPr>
            </w:pPr>
            <w:r w:rsidRPr="005016E6">
              <w:rPr>
                <w:rFonts w:cs="Times New Roman"/>
                <w:sz w:val="20"/>
                <w:szCs w:val="20"/>
                <w:lang w:val="en-US"/>
              </w:rPr>
              <w:t>Wildlife International</w:t>
            </w:r>
            <w:r>
              <w:rPr>
                <w:rFonts w:cs="Times New Roman"/>
                <w:sz w:val="20"/>
                <w:szCs w:val="20"/>
                <w:lang w:val="en-US"/>
              </w:rPr>
              <w:t>,</w:t>
            </w:r>
            <w:r w:rsidRPr="005016E6">
              <w:rPr>
                <w:rFonts w:cs="Times New Roman"/>
                <w:sz w:val="20"/>
                <w:szCs w:val="20"/>
                <w:lang w:val="en-US"/>
              </w:rPr>
              <w:t xml:space="preserve"> 1979a,b</w:t>
            </w:r>
          </w:p>
        </w:tc>
        <w:tc>
          <w:tcPr>
            <w:tcW w:w="3498" w:type="dxa"/>
            <w:vMerge w:val="restart"/>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 xml:space="preserve">Values generated from probit regression conducted on raw data </w:t>
            </w:r>
            <w:r>
              <w:rPr>
                <w:rFonts w:cs="Times New Roman"/>
                <w:sz w:val="20"/>
                <w:szCs w:val="20"/>
                <w:lang w:val="en-US"/>
              </w:rPr>
              <w:t xml:space="preserve">for laughing gulls </w:t>
            </w:r>
            <w:r w:rsidRPr="005016E6">
              <w:rPr>
                <w:rFonts w:cs="Times New Roman"/>
                <w:sz w:val="20"/>
                <w:szCs w:val="20"/>
                <w:lang w:val="en-US"/>
              </w:rPr>
              <w:t>in the reports. Laughing gull should be a reasonable surrogate for western gulls.</w:t>
            </w:r>
          </w:p>
        </w:tc>
      </w:tr>
      <w:tr w:rsidR="009A764B" w:rsidTr="00825991">
        <w:tc>
          <w:tcPr>
            <w:tcW w:w="2427" w:type="dxa"/>
            <w:vAlign w:val="center"/>
          </w:tcPr>
          <w:p w:rsidR="009A764B" w:rsidRPr="005016E6" w:rsidRDefault="009A764B" w:rsidP="00E11365">
            <w:pPr>
              <w:rPr>
                <w:rFonts w:cs="Times New Roman"/>
                <w:sz w:val="20"/>
                <w:szCs w:val="20"/>
                <w:lang w:val="en-US"/>
              </w:rPr>
            </w:pPr>
            <w:r w:rsidRPr="005016E6">
              <w:rPr>
                <w:sz w:val="20"/>
                <w:szCs w:val="20"/>
              </w:rPr>
              <w:t>Probit slope for brodifacoum</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2.32</w:t>
            </w:r>
          </w:p>
        </w:tc>
        <w:tc>
          <w:tcPr>
            <w:tcW w:w="964" w:type="dxa"/>
            <w:vMerge/>
            <w:vAlign w:val="center"/>
          </w:tcPr>
          <w:p w:rsidR="009A764B" w:rsidRPr="005016E6" w:rsidRDefault="009A764B" w:rsidP="00E11365">
            <w:pPr>
              <w:jc w:val="center"/>
              <w:rPr>
                <w:rFonts w:cs="Times New Roman"/>
                <w:sz w:val="20"/>
                <w:szCs w:val="20"/>
                <w:lang w:val="en-US"/>
              </w:rPr>
            </w:pPr>
          </w:p>
        </w:tc>
        <w:tc>
          <w:tcPr>
            <w:tcW w:w="1847" w:type="dxa"/>
            <w:vMerge/>
            <w:vAlign w:val="center"/>
          </w:tcPr>
          <w:p w:rsidR="009A764B" w:rsidRPr="005016E6" w:rsidRDefault="009A764B" w:rsidP="00E11365">
            <w:pPr>
              <w:jc w:val="center"/>
              <w:rPr>
                <w:rFonts w:cs="Times New Roman"/>
                <w:sz w:val="20"/>
                <w:szCs w:val="20"/>
                <w:lang w:val="en-US"/>
              </w:rPr>
            </w:pPr>
          </w:p>
        </w:tc>
        <w:tc>
          <w:tcPr>
            <w:tcW w:w="3498" w:type="dxa"/>
            <w:vMerge/>
            <w:vAlign w:val="center"/>
          </w:tcPr>
          <w:p w:rsidR="009A764B" w:rsidRPr="005016E6" w:rsidRDefault="009A764B" w:rsidP="00E11365">
            <w:pPr>
              <w:rPr>
                <w:rFonts w:cs="Times New Roman"/>
                <w:sz w:val="20"/>
                <w:szCs w:val="20"/>
                <w:lang w:val="en-US"/>
              </w:rPr>
            </w:pPr>
          </w:p>
        </w:tc>
      </w:tr>
      <w:tr w:rsidR="009A764B" w:rsidTr="0077795B">
        <w:trPr>
          <w:trHeight w:val="341"/>
        </w:trPr>
        <w:tc>
          <w:tcPr>
            <w:tcW w:w="2427" w:type="dxa"/>
            <w:vAlign w:val="center"/>
          </w:tcPr>
          <w:p w:rsidR="009A764B" w:rsidRPr="005016E6" w:rsidRDefault="009A764B" w:rsidP="00E11365">
            <w:pPr>
              <w:rPr>
                <w:rFonts w:cs="Times New Roman"/>
                <w:sz w:val="20"/>
                <w:szCs w:val="20"/>
                <w:lang w:val="en-US"/>
              </w:rPr>
            </w:pPr>
            <w:r>
              <w:rPr>
                <w:sz w:val="20"/>
                <w:szCs w:val="20"/>
              </w:rPr>
              <w:t xml:space="preserve">Gull </w:t>
            </w:r>
            <w:r w:rsidRPr="005016E6">
              <w:rPr>
                <w:sz w:val="20"/>
                <w:szCs w:val="20"/>
              </w:rPr>
              <w:t>LD50 for diphacinone</w:t>
            </w:r>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97.0</w:t>
            </w:r>
          </w:p>
        </w:tc>
        <w:tc>
          <w:tcPr>
            <w:tcW w:w="964" w:type="dxa"/>
            <w:vMerge w:val="restart"/>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mg/kg bw</w:t>
            </w:r>
          </w:p>
        </w:tc>
        <w:tc>
          <w:tcPr>
            <w:tcW w:w="1847" w:type="dxa"/>
            <w:vMerge w:val="restart"/>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Rattner et al., 2010</w:t>
            </w:r>
          </w:p>
        </w:tc>
        <w:tc>
          <w:tcPr>
            <w:tcW w:w="3498" w:type="dxa"/>
            <w:vMerge w:val="restart"/>
            <w:vAlign w:val="center"/>
          </w:tcPr>
          <w:p w:rsidR="009A764B" w:rsidRPr="005016E6" w:rsidRDefault="009A764B" w:rsidP="00E11365">
            <w:pPr>
              <w:rPr>
                <w:rFonts w:cs="Times New Roman"/>
                <w:sz w:val="20"/>
                <w:szCs w:val="20"/>
                <w:lang w:val="en-US"/>
              </w:rPr>
            </w:pPr>
            <w:r w:rsidRPr="005016E6">
              <w:rPr>
                <w:rFonts w:cs="Times New Roman"/>
                <w:sz w:val="20"/>
                <w:szCs w:val="20"/>
                <w:lang w:val="en-US"/>
              </w:rPr>
              <w:t>Values generated from log-probit regression conducted by study authors for most sensitive species tested to date, the American kestrel.</w:t>
            </w:r>
          </w:p>
        </w:tc>
      </w:tr>
      <w:tr w:rsidR="009A764B" w:rsidTr="003E6712">
        <w:tc>
          <w:tcPr>
            <w:tcW w:w="2427" w:type="dxa"/>
            <w:vAlign w:val="center"/>
          </w:tcPr>
          <w:p w:rsidR="009A764B" w:rsidRPr="005016E6" w:rsidRDefault="009A764B" w:rsidP="00E11365">
            <w:pPr>
              <w:rPr>
                <w:rFonts w:cs="Times New Roman"/>
                <w:sz w:val="20"/>
                <w:szCs w:val="20"/>
                <w:lang w:val="en-US"/>
              </w:rPr>
            </w:pPr>
            <w:r w:rsidRPr="005016E6">
              <w:rPr>
                <w:sz w:val="20"/>
                <w:szCs w:val="20"/>
              </w:rPr>
              <w:t>Probit slope for diphacinone</w:t>
            </w:r>
          </w:p>
        </w:tc>
        <w:tc>
          <w:tcPr>
            <w:tcW w:w="840" w:type="dxa"/>
            <w:vAlign w:val="center"/>
          </w:tcPr>
          <w:p w:rsidR="009A764B" w:rsidRPr="005016E6" w:rsidRDefault="009A764B" w:rsidP="00E11365">
            <w:pPr>
              <w:jc w:val="center"/>
              <w:rPr>
                <w:rFonts w:cs="Times New Roman"/>
                <w:sz w:val="20"/>
                <w:szCs w:val="20"/>
                <w:lang w:val="en-US"/>
              </w:rPr>
            </w:pPr>
            <w:r w:rsidRPr="005016E6">
              <w:rPr>
                <w:rFonts w:cs="Times New Roman"/>
                <w:sz w:val="20"/>
                <w:szCs w:val="20"/>
                <w:lang w:val="en-US"/>
              </w:rPr>
              <w:t>6.69</w:t>
            </w:r>
          </w:p>
        </w:tc>
        <w:tc>
          <w:tcPr>
            <w:tcW w:w="964" w:type="dxa"/>
            <w:vMerge/>
            <w:vAlign w:val="center"/>
          </w:tcPr>
          <w:p w:rsidR="009A764B" w:rsidRPr="005016E6" w:rsidRDefault="009A764B" w:rsidP="00E11365">
            <w:pPr>
              <w:jc w:val="center"/>
              <w:rPr>
                <w:rFonts w:cs="Times New Roman"/>
                <w:sz w:val="20"/>
                <w:szCs w:val="20"/>
                <w:lang w:val="en-US"/>
              </w:rPr>
            </w:pPr>
          </w:p>
        </w:tc>
        <w:tc>
          <w:tcPr>
            <w:tcW w:w="1847" w:type="dxa"/>
            <w:vMerge/>
            <w:vAlign w:val="center"/>
          </w:tcPr>
          <w:p w:rsidR="009A764B" w:rsidRPr="005016E6" w:rsidRDefault="009A764B" w:rsidP="00E11365">
            <w:pPr>
              <w:jc w:val="center"/>
              <w:rPr>
                <w:rFonts w:cs="Times New Roman"/>
                <w:sz w:val="20"/>
                <w:szCs w:val="20"/>
                <w:lang w:val="en-US"/>
              </w:rPr>
            </w:pPr>
          </w:p>
        </w:tc>
        <w:tc>
          <w:tcPr>
            <w:tcW w:w="3498" w:type="dxa"/>
            <w:vMerge/>
            <w:vAlign w:val="center"/>
          </w:tcPr>
          <w:p w:rsidR="009A764B" w:rsidRPr="005016E6" w:rsidRDefault="009A764B" w:rsidP="00E11365">
            <w:pPr>
              <w:rPr>
                <w:rFonts w:cs="Times New Roman"/>
                <w:sz w:val="20"/>
                <w:szCs w:val="20"/>
                <w:lang w:val="en-US"/>
              </w:rPr>
            </w:pPr>
          </w:p>
        </w:tc>
      </w:tr>
      <w:tr w:rsidR="009A764B" w:rsidTr="008270EE">
        <w:tc>
          <w:tcPr>
            <w:tcW w:w="2427" w:type="dxa"/>
            <w:vAlign w:val="center"/>
          </w:tcPr>
          <w:p w:rsidR="009A764B" w:rsidRPr="005016E6" w:rsidRDefault="009A764B" w:rsidP="00E11365">
            <w:pPr>
              <w:rPr>
                <w:rFonts w:cs="Times New Roman"/>
                <w:sz w:val="20"/>
                <w:szCs w:val="20"/>
                <w:lang w:val="en-US"/>
              </w:rPr>
            </w:pPr>
            <w:r w:rsidRPr="005016E6">
              <w:rPr>
                <w:sz w:val="20"/>
                <w:szCs w:val="20"/>
              </w:rPr>
              <w:t xml:space="preserve">Half-life for elimination </w:t>
            </w:r>
            <w:r>
              <w:rPr>
                <w:sz w:val="20"/>
                <w:szCs w:val="20"/>
              </w:rPr>
              <w:t>from gull</w:t>
            </w:r>
            <w:r w:rsidRPr="005016E6">
              <w:rPr>
                <w:sz w:val="20"/>
                <w:szCs w:val="20"/>
              </w:rPr>
              <w:t>- brodifacoum</w:t>
            </w:r>
          </w:p>
        </w:tc>
        <w:tc>
          <w:tcPr>
            <w:tcW w:w="840" w:type="dxa"/>
            <w:vAlign w:val="center"/>
          </w:tcPr>
          <w:p w:rsidR="009A764B" w:rsidRPr="005016E6" w:rsidRDefault="009A764B" w:rsidP="00E11365">
            <w:pPr>
              <w:jc w:val="center"/>
              <w:rPr>
                <w:rFonts w:cs="Times New Roman"/>
                <w:sz w:val="20"/>
                <w:szCs w:val="20"/>
                <w:lang w:val="en-US"/>
              </w:rPr>
            </w:pPr>
            <w:r w:rsidRPr="005016E6">
              <w:rPr>
                <w:sz w:val="20"/>
                <w:szCs w:val="20"/>
              </w:rPr>
              <w:t>217</w:t>
            </w:r>
          </w:p>
        </w:tc>
        <w:tc>
          <w:tcPr>
            <w:tcW w:w="964" w:type="dxa"/>
            <w:vAlign w:val="center"/>
          </w:tcPr>
          <w:p w:rsidR="009A764B" w:rsidRPr="005016E6" w:rsidRDefault="009A764B" w:rsidP="00E11365">
            <w:pPr>
              <w:jc w:val="center"/>
              <w:rPr>
                <w:rFonts w:cs="Times New Roman"/>
                <w:sz w:val="20"/>
                <w:szCs w:val="20"/>
                <w:lang w:val="en-US"/>
              </w:rPr>
            </w:pPr>
            <w:r w:rsidRPr="005016E6">
              <w:rPr>
                <w:sz w:val="20"/>
                <w:szCs w:val="20"/>
              </w:rPr>
              <w:t>days</w:t>
            </w:r>
          </w:p>
        </w:tc>
        <w:tc>
          <w:tcPr>
            <w:tcW w:w="1847" w:type="dxa"/>
            <w:vMerge w:val="restart"/>
            <w:vAlign w:val="center"/>
          </w:tcPr>
          <w:p w:rsidR="009A764B" w:rsidRPr="005016E6" w:rsidRDefault="009A764B" w:rsidP="00B9220D">
            <w:pPr>
              <w:jc w:val="center"/>
              <w:rPr>
                <w:rFonts w:cs="Times New Roman"/>
                <w:sz w:val="20"/>
                <w:szCs w:val="20"/>
                <w:lang w:val="en-US"/>
              </w:rPr>
            </w:pPr>
            <w:r w:rsidRPr="005016E6">
              <w:rPr>
                <w:sz w:val="20"/>
                <w:szCs w:val="20"/>
              </w:rPr>
              <w:t>Erickson and Urban</w:t>
            </w:r>
            <w:r>
              <w:rPr>
                <w:sz w:val="20"/>
                <w:szCs w:val="20"/>
              </w:rPr>
              <w:t>,</w:t>
            </w:r>
            <w:r w:rsidRPr="005016E6">
              <w:rPr>
                <w:sz w:val="20"/>
                <w:szCs w:val="20"/>
              </w:rPr>
              <w:t xml:space="preserve"> 2004</w:t>
            </w:r>
          </w:p>
        </w:tc>
        <w:tc>
          <w:tcPr>
            <w:tcW w:w="3498" w:type="dxa"/>
            <w:vMerge w:val="restart"/>
            <w:vAlign w:val="center"/>
          </w:tcPr>
          <w:p w:rsidR="009A764B" w:rsidRPr="005016E6" w:rsidRDefault="009A764B" w:rsidP="00E11365">
            <w:pPr>
              <w:rPr>
                <w:rFonts w:cs="Times New Roman"/>
                <w:sz w:val="20"/>
                <w:szCs w:val="20"/>
                <w:lang w:val="en-US"/>
              </w:rPr>
            </w:pPr>
            <w:r w:rsidRPr="005016E6">
              <w:rPr>
                <w:sz w:val="20"/>
                <w:szCs w:val="20"/>
              </w:rPr>
              <w:t>Calculated mean retention time in the liver from available studies.</w:t>
            </w:r>
          </w:p>
        </w:tc>
      </w:tr>
      <w:tr w:rsidR="009A764B" w:rsidTr="003E6712">
        <w:tc>
          <w:tcPr>
            <w:tcW w:w="2427" w:type="dxa"/>
            <w:vAlign w:val="center"/>
          </w:tcPr>
          <w:p w:rsidR="009A764B" w:rsidRPr="005016E6" w:rsidRDefault="009A764B">
            <w:pPr>
              <w:rPr>
                <w:rFonts w:cs="Times New Roman"/>
                <w:sz w:val="20"/>
                <w:szCs w:val="20"/>
                <w:lang w:val="en-US"/>
              </w:rPr>
            </w:pPr>
            <w:r w:rsidRPr="005016E6">
              <w:rPr>
                <w:sz w:val="20"/>
                <w:szCs w:val="20"/>
              </w:rPr>
              <w:t xml:space="preserve">Half-life for elimination </w:t>
            </w:r>
            <w:r>
              <w:rPr>
                <w:sz w:val="20"/>
                <w:szCs w:val="20"/>
              </w:rPr>
              <w:t xml:space="preserve">from gull </w:t>
            </w:r>
            <w:r w:rsidRPr="005016E6">
              <w:rPr>
                <w:sz w:val="20"/>
                <w:szCs w:val="20"/>
              </w:rPr>
              <w:t>- diphacinone</w:t>
            </w:r>
          </w:p>
        </w:tc>
        <w:tc>
          <w:tcPr>
            <w:tcW w:w="840" w:type="dxa"/>
            <w:vAlign w:val="center"/>
          </w:tcPr>
          <w:p w:rsidR="009A764B" w:rsidRDefault="009A764B">
            <w:pPr>
              <w:jc w:val="center"/>
              <w:rPr>
                <w:rFonts w:cs="Times New Roman"/>
                <w:sz w:val="20"/>
                <w:szCs w:val="20"/>
                <w:lang w:val="en-US"/>
              </w:rPr>
            </w:pPr>
            <w:r>
              <w:rPr>
                <w:rFonts w:cs="Times New Roman"/>
                <w:sz w:val="20"/>
                <w:szCs w:val="20"/>
                <w:lang w:val="en-US"/>
              </w:rPr>
              <w:t>90</w:t>
            </w:r>
          </w:p>
        </w:tc>
        <w:tc>
          <w:tcPr>
            <w:tcW w:w="964" w:type="dxa"/>
            <w:vAlign w:val="center"/>
          </w:tcPr>
          <w:p w:rsidR="009A764B" w:rsidRDefault="009A764B">
            <w:pPr>
              <w:jc w:val="center"/>
              <w:rPr>
                <w:rFonts w:cs="Times New Roman"/>
                <w:sz w:val="20"/>
                <w:szCs w:val="20"/>
                <w:lang w:val="en-US"/>
              </w:rPr>
            </w:pPr>
            <w:r>
              <w:rPr>
                <w:rFonts w:cs="Times New Roman"/>
                <w:sz w:val="20"/>
                <w:szCs w:val="20"/>
                <w:lang w:val="en-US"/>
              </w:rPr>
              <w:t>days</w:t>
            </w:r>
          </w:p>
        </w:tc>
        <w:tc>
          <w:tcPr>
            <w:tcW w:w="1847" w:type="dxa"/>
            <w:vMerge/>
            <w:vAlign w:val="center"/>
          </w:tcPr>
          <w:p w:rsidR="009A764B" w:rsidRDefault="009A764B">
            <w:pPr>
              <w:jc w:val="center"/>
              <w:rPr>
                <w:rFonts w:cs="Times New Roman"/>
                <w:sz w:val="20"/>
                <w:szCs w:val="20"/>
                <w:lang w:val="en-US"/>
              </w:rPr>
            </w:pPr>
          </w:p>
        </w:tc>
        <w:tc>
          <w:tcPr>
            <w:tcW w:w="3498" w:type="dxa"/>
            <w:vMerge/>
            <w:vAlign w:val="center"/>
          </w:tcPr>
          <w:p w:rsidR="009A764B" w:rsidRDefault="009A764B">
            <w:pPr>
              <w:rPr>
                <w:rFonts w:cs="Times New Roman"/>
                <w:sz w:val="20"/>
                <w:szCs w:val="20"/>
                <w:lang w:val="en-US"/>
              </w:rPr>
            </w:pPr>
          </w:p>
        </w:tc>
      </w:tr>
    </w:tbl>
    <w:p w:rsidR="00AC1E47" w:rsidRDefault="00136704" w:rsidP="00AC1E47">
      <w:pPr>
        <w:pStyle w:val="ListParagraph"/>
        <w:numPr>
          <w:ilvl w:val="0"/>
          <w:numId w:val="33"/>
        </w:numPr>
        <w:spacing w:after="0" w:line="240" w:lineRule="auto"/>
        <w:ind w:left="180" w:hanging="180"/>
        <w:rPr>
          <w:rFonts w:cs="Times New Roman"/>
          <w:sz w:val="18"/>
          <w:szCs w:val="18"/>
          <w:lang w:val="en-US"/>
        </w:rPr>
      </w:pPr>
      <w:r w:rsidRPr="00AC1E47">
        <w:rPr>
          <w:rFonts w:cs="Times New Roman"/>
          <w:sz w:val="18"/>
          <w:szCs w:val="18"/>
          <w:lang w:val="en-US"/>
        </w:rPr>
        <w:t>Th</w:t>
      </w:r>
      <w:r w:rsidR="00800C1C" w:rsidRPr="00AC1E47">
        <w:rPr>
          <w:rFonts w:cs="Times New Roman"/>
          <w:sz w:val="18"/>
          <w:szCs w:val="18"/>
          <w:lang w:val="en-US"/>
        </w:rPr>
        <w:t>e application</w:t>
      </w:r>
      <w:r w:rsidRPr="00AC1E47">
        <w:rPr>
          <w:rFonts w:cs="Times New Roman"/>
          <w:sz w:val="18"/>
          <w:szCs w:val="18"/>
          <w:lang w:val="en-US"/>
        </w:rPr>
        <w:t xml:space="preserve"> rate </w:t>
      </w:r>
      <w:r w:rsidR="00800C1C" w:rsidRPr="00AC1E47">
        <w:rPr>
          <w:rFonts w:cs="Times New Roman"/>
          <w:sz w:val="18"/>
          <w:szCs w:val="18"/>
          <w:lang w:val="en-US"/>
        </w:rPr>
        <w:t xml:space="preserve">for diphacinone </w:t>
      </w:r>
      <w:r w:rsidRPr="00AC1E47">
        <w:rPr>
          <w:rFonts w:cs="Times New Roman"/>
          <w:sz w:val="18"/>
          <w:szCs w:val="18"/>
          <w:lang w:val="en-US"/>
        </w:rPr>
        <w:t>was revised upward after the contract was awarded for this proje</w:t>
      </w:r>
      <w:r w:rsidR="00AC1E47">
        <w:rPr>
          <w:rFonts w:cs="Times New Roman"/>
          <w:sz w:val="18"/>
          <w:szCs w:val="18"/>
          <w:lang w:val="en-US"/>
        </w:rPr>
        <w:t>ct.</w:t>
      </w:r>
      <w:r w:rsidR="00D4371B">
        <w:rPr>
          <w:rFonts w:cs="Times New Roman"/>
          <w:sz w:val="18"/>
          <w:szCs w:val="18"/>
          <w:lang w:val="en-US"/>
        </w:rPr>
        <w:t xml:space="preserve"> </w:t>
      </w:r>
    </w:p>
    <w:p w:rsidR="00136704" w:rsidRPr="00136704" w:rsidRDefault="00780C06" w:rsidP="00136704">
      <w:pPr>
        <w:spacing w:after="0" w:line="240" w:lineRule="auto"/>
        <w:ind w:left="187" w:hanging="187"/>
        <w:rPr>
          <w:rFonts w:cs="Times New Roman"/>
          <w:sz w:val="18"/>
          <w:szCs w:val="18"/>
          <w:lang w:val="en-US"/>
        </w:rPr>
      </w:pPr>
      <w:r>
        <w:rPr>
          <w:rFonts w:cs="Times New Roman"/>
          <w:sz w:val="18"/>
          <w:szCs w:val="18"/>
          <w:vertAlign w:val="superscript"/>
          <w:lang w:val="en-US"/>
        </w:rPr>
        <w:t>2</w:t>
      </w:r>
      <w:r w:rsidR="00136704">
        <w:rPr>
          <w:rFonts w:cs="Times New Roman"/>
          <w:sz w:val="18"/>
          <w:szCs w:val="18"/>
          <w:vertAlign w:val="superscript"/>
          <w:lang w:val="en-US"/>
        </w:rPr>
        <w:t xml:space="preserve"> </w:t>
      </w:r>
      <w:r w:rsidR="00136704">
        <w:rPr>
          <w:rFonts w:cs="Times New Roman"/>
          <w:sz w:val="18"/>
          <w:szCs w:val="18"/>
          <w:vertAlign w:val="superscript"/>
          <w:lang w:val="en-US"/>
        </w:rPr>
        <w:tab/>
      </w:r>
      <w:r w:rsidR="00136704">
        <w:rPr>
          <w:rFonts w:cs="Times New Roman"/>
          <w:sz w:val="18"/>
          <w:szCs w:val="18"/>
          <w:lang w:val="en-US"/>
        </w:rPr>
        <w:t xml:space="preserve">A different value </w:t>
      </w:r>
      <w:r w:rsidR="009D79B5">
        <w:rPr>
          <w:rFonts w:cs="Times New Roman"/>
          <w:sz w:val="18"/>
          <w:szCs w:val="18"/>
          <w:lang w:val="en-US"/>
        </w:rPr>
        <w:t xml:space="preserve">could </w:t>
      </w:r>
      <w:r w:rsidR="00136704">
        <w:rPr>
          <w:rFonts w:cs="Times New Roman"/>
          <w:sz w:val="18"/>
          <w:szCs w:val="18"/>
          <w:lang w:val="en-US"/>
        </w:rPr>
        <w:t xml:space="preserve">be used for this input parameter in future model simulations. The results of the sensitivity analyses described in Section </w:t>
      </w:r>
      <w:r w:rsidR="00D4371B">
        <w:rPr>
          <w:rFonts w:cs="Times New Roman"/>
          <w:sz w:val="18"/>
          <w:szCs w:val="18"/>
          <w:lang w:val="en-US"/>
        </w:rPr>
        <w:t>5</w:t>
      </w:r>
      <w:r w:rsidR="00136704">
        <w:rPr>
          <w:rFonts w:cs="Times New Roman"/>
          <w:sz w:val="18"/>
          <w:szCs w:val="18"/>
          <w:lang w:val="en-US"/>
        </w:rPr>
        <w:t xml:space="preserve">.4 of this </w:t>
      </w:r>
      <w:r w:rsidR="00D4371B">
        <w:rPr>
          <w:rFonts w:cs="Times New Roman"/>
          <w:sz w:val="18"/>
          <w:szCs w:val="18"/>
          <w:lang w:val="en-US"/>
        </w:rPr>
        <w:t>report</w:t>
      </w:r>
      <w:r w:rsidR="00136704">
        <w:rPr>
          <w:rFonts w:cs="Times New Roman"/>
          <w:sz w:val="18"/>
          <w:szCs w:val="18"/>
          <w:lang w:val="en-US"/>
        </w:rPr>
        <w:t xml:space="preserve">, however, indicate that </w:t>
      </w:r>
      <w:r w:rsidR="00D4371B">
        <w:rPr>
          <w:rFonts w:cs="Times New Roman"/>
          <w:sz w:val="18"/>
          <w:szCs w:val="18"/>
          <w:lang w:val="en-US"/>
        </w:rPr>
        <w:t xml:space="preserve">the </w:t>
      </w:r>
      <w:r w:rsidR="00136704">
        <w:rPr>
          <w:rFonts w:cs="Times New Roman"/>
          <w:sz w:val="18"/>
          <w:szCs w:val="18"/>
          <w:lang w:val="en-US"/>
        </w:rPr>
        <w:t>value assumed for this input parameter has a negligible influence on predicted mortality of western gulls.</w:t>
      </w:r>
    </w:p>
    <w:p w:rsidR="00136704" w:rsidRPr="0099279C" w:rsidRDefault="00136704" w:rsidP="00BD231C">
      <w:pPr>
        <w:rPr>
          <w:rFonts w:cs="Times New Roman"/>
          <w:sz w:val="24"/>
          <w:szCs w:val="24"/>
          <w:lang w:val="en-US"/>
        </w:rPr>
      </w:pPr>
    </w:p>
    <w:p w:rsidR="00BD231C" w:rsidRPr="0099279C" w:rsidRDefault="00BD231C" w:rsidP="00BD231C">
      <w:pPr>
        <w:pStyle w:val="Heading2"/>
      </w:pPr>
      <w:bookmarkStart w:id="18" w:name="_Toc343007920"/>
      <w:r w:rsidRPr="0099279C">
        <w:t>Detailed Description of Exposure Model</w:t>
      </w:r>
      <w:r w:rsidR="00F3356C">
        <w:t xml:space="preserve"> INPUTs and COMPONENTS</w:t>
      </w:r>
      <w:bookmarkEnd w:id="18"/>
    </w:p>
    <w:p w:rsidR="00BD231C" w:rsidRPr="0099279C" w:rsidRDefault="00A8241F" w:rsidP="00BD231C">
      <w:pPr>
        <w:rPr>
          <w:rFonts w:cs="Times New Roman"/>
          <w:sz w:val="24"/>
          <w:szCs w:val="24"/>
          <w:lang w:val="en-US"/>
        </w:rPr>
      </w:pPr>
      <w:r w:rsidRPr="0099279C">
        <w:rPr>
          <w:rFonts w:cs="Times New Roman"/>
          <w:sz w:val="24"/>
          <w:szCs w:val="24"/>
          <w:lang w:val="en-US"/>
        </w:rPr>
        <w:t xml:space="preserve">There are a large number of input parameters </w:t>
      </w:r>
      <w:r w:rsidR="00176C3F" w:rsidRPr="0099279C">
        <w:rPr>
          <w:rFonts w:cs="Times New Roman"/>
          <w:sz w:val="24"/>
          <w:szCs w:val="24"/>
          <w:lang w:val="en-US"/>
        </w:rPr>
        <w:t>in</w:t>
      </w:r>
      <w:r w:rsidRPr="0099279C">
        <w:rPr>
          <w:rFonts w:cs="Times New Roman"/>
          <w:sz w:val="24"/>
          <w:szCs w:val="24"/>
          <w:lang w:val="en-US"/>
        </w:rPr>
        <w:t xml:space="preserve"> the western gull risk model. In general, variables of minor importance and/or </w:t>
      </w:r>
      <w:r w:rsidR="00176C3F" w:rsidRPr="0099279C">
        <w:rPr>
          <w:rFonts w:cs="Times New Roman"/>
          <w:sz w:val="24"/>
          <w:szCs w:val="24"/>
          <w:lang w:val="en-US"/>
        </w:rPr>
        <w:t>that have</w:t>
      </w:r>
      <w:r w:rsidRPr="0099279C">
        <w:rPr>
          <w:rFonts w:cs="Times New Roman"/>
          <w:sz w:val="24"/>
          <w:szCs w:val="24"/>
          <w:lang w:val="en-US"/>
        </w:rPr>
        <w:t xml:space="preserve"> little uncertainty </w:t>
      </w:r>
      <w:r w:rsidR="00CF04C6">
        <w:rPr>
          <w:rFonts w:cs="Times New Roman"/>
          <w:sz w:val="24"/>
          <w:szCs w:val="24"/>
          <w:lang w:val="en-US"/>
        </w:rPr>
        <w:t>and</w:t>
      </w:r>
      <w:r w:rsidR="00CF04C6" w:rsidRPr="0099279C">
        <w:rPr>
          <w:rFonts w:cs="Times New Roman"/>
          <w:sz w:val="24"/>
          <w:szCs w:val="24"/>
          <w:lang w:val="en-US"/>
        </w:rPr>
        <w:t xml:space="preserve"> </w:t>
      </w:r>
      <w:r w:rsidRPr="0099279C">
        <w:rPr>
          <w:rFonts w:cs="Times New Roman"/>
          <w:sz w:val="24"/>
          <w:szCs w:val="24"/>
          <w:lang w:val="en-US"/>
        </w:rPr>
        <w:t xml:space="preserve">variability </w:t>
      </w:r>
      <w:proofErr w:type="gramStart"/>
      <w:r w:rsidR="00AC5E63">
        <w:rPr>
          <w:rFonts w:cs="Times New Roman"/>
          <w:sz w:val="24"/>
          <w:szCs w:val="24"/>
          <w:lang w:val="en-US"/>
        </w:rPr>
        <w:t>a</w:t>
      </w:r>
      <w:r w:rsidR="00AC5E63" w:rsidRPr="0099279C">
        <w:rPr>
          <w:rFonts w:cs="Times New Roman"/>
          <w:sz w:val="24"/>
          <w:szCs w:val="24"/>
          <w:lang w:val="en-US"/>
        </w:rPr>
        <w:t>re</w:t>
      </w:r>
      <w:proofErr w:type="gramEnd"/>
      <w:r w:rsidR="00AC5E63" w:rsidRPr="0099279C">
        <w:rPr>
          <w:rFonts w:cs="Times New Roman"/>
          <w:sz w:val="24"/>
          <w:szCs w:val="24"/>
          <w:lang w:val="en-US"/>
        </w:rPr>
        <w:t xml:space="preserve"> </w:t>
      </w:r>
      <w:r w:rsidRPr="0099279C">
        <w:rPr>
          <w:rFonts w:cs="Times New Roman"/>
          <w:sz w:val="24"/>
          <w:szCs w:val="24"/>
          <w:lang w:val="en-US"/>
        </w:rPr>
        <w:t>treated as deterministic variables (i.e., one value</w:t>
      </w:r>
      <w:r w:rsidR="00176C3F" w:rsidRPr="0099279C">
        <w:rPr>
          <w:rFonts w:cs="Times New Roman"/>
          <w:sz w:val="24"/>
          <w:szCs w:val="24"/>
          <w:lang w:val="en-US"/>
        </w:rPr>
        <w:t xml:space="preserve"> per variable</w:t>
      </w:r>
      <w:r w:rsidRPr="0099279C">
        <w:rPr>
          <w:rFonts w:cs="Times New Roman"/>
          <w:sz w:val="24"/>
          <w:szCs w:val="24"/>
          <w:lang w:val="en-US"/>
        </w:rPr>
        <w:t xml:space="preserve">). Those variables that are variable or have high uncertainty </w:t>
      </w:r>
      <w:r w:rsidR="00AC5E63">
        <w:rPr>
          <w:rFonts w:cs="Times New Roman"/>
          <w:sz w:val="24"/>
          <w:szCs w:val="24"/>
          <w:lang w:val="en-US"/>
        </w:rPr>
        <w:t>a</w:t>
      </w:r>
      <w:r w:rsidR="00AC5E63" w:rsidRPr="0099279C">
        <w:rPr>
          <w:rFonts w:cs="Times New Roman"/>
          <w:sz w:val="24"/>
          <w:szCs w:val="24"/>
          <w:lang w:val="en-US"/>
        </w:rPr>
        <w:t xml:space="preserve">re </w:t>
      </w:r>
      <w:r w:rsidRPr="0099279C">
        <w:rPr>
          <w:rFonts w:cs="Times New Roman"/>
          <w:sz w:val="24"/>
          <w:szCs w:val="24"/>
          <w:lang w:val="en-US"/>
        </w:rPr>
        <w:t xml:space="preserve">either treated as distributions or </w:t>
      </w:r>
      <w:r w:rsidR="00C105C5">
        <w:rPr>
          <w:rFonts w:cs="Times New Roman"/>
          <w:sz w:val="24"/>
          <w:szCs w:val="24"/>
          <w:lang w:val="en-US"/>
        </w:rPr>
        <w:t>considered in the sensitivity analysis to determine their importance to model predictions</w:t>
      </w:r>
      <w:r w:rsidRPr="0099279C">
        <w:rPr>
          <w:rFonts w:cs="Times New Roman"/>
          <w:sz w:val="24"/>
          <w:szCs w:val="24"/>
          <w:lang w:val="en-US"/>
        </w:rPr>
        <w:t xml:space="preserve">. </w:t>
      </w:r>
      <w:r w:rsidR="0098650A" w:rsidRPr="0099279C">
        <w:rPr>
          <w:rFonts w:cs="Times New Roman"/>
          <w:sz w:val="24"/>
          <w:szCs w:val="24"/>
          <w:lang w:val="en-US"/>
        </w:rPr>
        <w:t>Each of the model input parameters for the western gull risk model are discussed below (also see Table 3-1).</w:t>
      </w:r>
    </w:p>
    <w:p w:rsidR="0098650A" w:rsidRPr="0099279C" w:rsidRDefault="0098650A" w:rsidP="00101022">
      <w:pPr>
        <w:pStyle w:val="Heading3"/>
      </w:pPr>
      <w:bookmarkStart w:id="19" w:name="_Toc343007921"/>
      <w:r w:rsidRPr="0099279C">
        <w:t xml:space="preserve">Application of </w:t>
      </w:r>
      <w:r w:rsidR="00C105C5">
        <w:t>Rodenticide</w:t>
      </w:r>
      <w:bookmarkEnd w:id="19"/>
    </w:p>
    <w:p w:rsidR="0098650A" w:rsidRDefault="00C105C5" w:rsidP="0098650A">
      <w:pPr>
        <w:rPr>
          <w:rFonts w:cs="Times New Roman"/>
          <w:sz w:val="24"/>
          <w:szCs w:val="24"/>
          <w:lang w:val="en-US"/>
        </w:rPr>
      </w:pPr>
      <w:r>
        <w:rPr>
          <w:rFonts w:cs="Times New Roman"/>
          <w:sz w:val="24"/>
          <w:szCs w:val="24"/>
          <w:lang w:val="en-US"/>
        </w:rPr>
        <w:t>For brodifacoum, t</w:t>
      </w:r>
      <w:r w:rsidRPr="0099279C">
        <w:rPr>
          <w:rFonts w:cs="Times New Roman"/>
          <w:sz w:val="24"/>
          <w:szCs w:val="24"/>
          <w:lang w:val="en-US"/>
        </w:rPr>
        <w:t xml:space="preserve">he </w:t>
      </w:r>
      <w:r w:rsidR="00D32C62" w:rsidRPr="0099279C">
        <w:rPr>
          <w:rFonts w:cs="Times New Roman"/>
          <w:sz w:val="24"/>
          <w:szCs w:val="24"/>
          <w:lang w:val="en-US"/>
        </w:rPr>
        <w:t xml:space="preserve">model assumes two applications on </w:t>
      </w:r>
      <w:r w:rsidR="00BE7C91">
        <w:rPr>
          <w:rFonts w:cs="Times New Roman"/>
          <w:sz w:val="24"/>
          <w:szCs w:val="24"/>
          <w:lang w:val="en-US"/>
        </w:rPr>
        <w:t>SFI</w:t>
      </w:r>
      <w:r w:rsidR="00D32C62" w:rsidRPr="0099279C">
        <w:rPr>
          <w:rFonts w:cs="Times New Roman"/>
          <w:sz w:val="24"/>
          <w:szCs w:val="24"/>
          <w:lang w:val="en-US"/>
        </w:rPr>
        <w:t xml:space="preserve"> in November-December. The first application </w:t>
      </w:r>
      <w:r w:rsidR="00176C3F" w:rsidRPr="0099279C">
        <w:rPr>
          <w:rFonts w:cs="Times New Roman"/>
          <w:sz w:val="24"/>
          <w:szCs w:val="24"/>
          <w:lang w:val="en-US"/>
        </w:rPr>
        <w:t xml:space="preserve">rate will </w:t>
      </w:r>
      <w:r w:rsidR="00933652">
        <w:rPr>
          <w:rFonts w:cs="Times New Roman"/>
          <w:sz w:val="24"/>
          <w:szCs w:val="24"/>
          <w:lang w:val="en-US"/>
        </w:rPr>
        <w:t xml:space="preserve">likely </w:t>
      </w:r>
      <w:r w:rsidR="00176C3F" w:rsidRPr="0099279C">
        <w:rPr>
          <w:rFonts w:cs="Times New Roman"/>
          <w:sz w:val="24"/>
          <w:szCs w:val="24"/>
          <w:lang w:val="en-US"/>
        </w:rPr>
        <w:t>be</w:t>
      </w:r>
      <w:r w:rsidR="00D32C62" w:rsidRPr="0099279C">
        <w:rPr>
          <w:rFonts w:cs="Times New Roman"/>
          <w:sz w:val="24"/>
          <w:szCs w:val="24"/>
          <w:lang w:val="en-US"/>
        </w:rPr>
        <w:t xml:space="preserve"> 18 kg bait/ha, the maximum rate allowed on the Brodifacoum 25-D label (EPA, 2008). The second application </w:t>
      </w:r>
      <w:r w:rsidR="00176C3F" w:rsidRPr="0099279C">
        <w:rPr>
          <w:rFonts w:cs="Times New Roman"/>
          <w:sz w:val="24"/>
          <w:szCs w:val="24"/>
          <w:lang w:val="en-US"/>
        </w:rPr>
        <w:t>will</w:t>
      </w:r>
      <w:r w:rsidR="00933652">
        <w:rPr>
          <w:rFonts w:cs="Times New Roman"/>
          <w:sz w:val="24"/>
          <w:szCs w:val="24"/>
          <w:lang w:val="en-US"/>
        </w:rPr>
        <w:t xml:space="preserve"> likely</w:t>
      </w:r>
      <w:r w:rsidR="00D32C62" w:rsidRPr="0099279C">
        <w:rPr>
          <w:rFonts w:cs="Times New Roman"/>
          <w:sz w:val="24"/>
          <w:szCs w:val="24"/>
          <w:lang w:val="en-US"/>
        </w:rPr>
        <w:t xml:space="preserve"> be at a rate of 9 kg bait/ha, which is also the maximum rate allowed on the label (EPA, 2008). The Brodifacoum 25-D formulation consists of grain-based pellets that weigh 1.1 g on average and have a target brodifacoum concentration of 25 mg ai/kg pellet (i.e., 0.0025% active ingredient in the formulation). The interval between applications </w:t>
      </w:r>
      <w:r w:rsidR="009D79B5">
        <w:rPr>
          <w:rFonts w:cs="Times New Roman"/>
          <w:sz w:val="24"/>
          <w:szCs w:val="24"/>
          <w:lang w:val="en-US"/>
        </w:rPr>
        <w:t>was assumed to be</w:t>
      </w:r>
      <w:r w:rsidR="00D32C62" w:rsidRPr="0099279C">
        <w:rPr>
          <w:rFonts w:cs="Times New Roman"/>
          <w:sz w:val="24"/>
          <w:szCs w:val="24"/>
          <w:lang w:val="en-US"/>
        </w:rPr>
        <w:t xml:space="preserve"> 12 days.</w:t>
      </w:r>
    </w:p>
    <w:p w:rsidR="00C105C5" w:rsidRDefault="00C105C5" w:rsidP="0098650A">
      <w:pPr>
        <w:rPr>
          <w:rFonts w:cs="Times New Roman"/>
          <w:sz w:val="24"/>
          <w:szCs w:val="24"/>
          <w:lang w:val="en-US"/>
        </w:rPr>
      </w:pPr>
      <w:r>
        <w:rPr>
          <w:rFonts w:cs="Times New Roman"/>
          <w:sz w:val="24"/>
          <w:szCs w:val="24"/>
          <w:lang w:val="en-US"/>
        </w:rPr>
        <w:t>For diphacinone, t</w:t>
      </w:r>
      <w:r w:rsidRPr="0099279C">
        <w:rPr>
          <w:rFonts w:cs="Times New Roman"/>
          <w:sz w:val="24"/>
          <w:szCs w:val="24"/>
          <w:lang w:val="en-US"/>
        </w:rPr>
        <w:t>he model assumes t</w:t>
      </w:r>
      <w:r>
        <w:rPr>
          <w:rFonts w:cs="Times New Roman"/>
          <w:sz w:val="24"/>
          <w:szCs w:val="24"/>
          <w:lang w:val="en-US"/>
        </w:rPr>
        <w:t>hree</w:t>
      </w:r>
      <w:r w:rsidRPr="0099279C">
        <w:rPr>
          <w:rFonts w:cs="Times New Roman"/>
          <w:sz w:val="24"/>
          <w:szCs w:val="24"/>
          <w:lang w:val="en-US"/>
        </w:rPr>
        <w:t xml:space="preserve"> applications on </w:t>
      </w:r>
      <w:r w:rsidR="00BE7C91">
        <w:rPr>
          <w:rFonts w:cs="Times New Roman"/>
          <w:sz w:val="24"/>
          <w:szCs w:val="24"/>
          <w:lang w:val="en-US"/>
        </w:rPr>
        <w:t>SFI</w:t>
      </w:r>
      <w:r w:rsidRPr="0099279C">
        <w:rPr>
          <w:rFonts w:cs="Times New Roman"/>
          <w:sz w:val="24"/>
          <w:szCs w:val="24"/>
          <w:lang w:val="en-US"/>
        </w:rPr>
        <w:t xml:space="preserve"> in November-December</w:t>
      </w:r>
      <w:r w:rsidR="006B7DDE">
        <w:rPr>
          <w:rFonts w:cs="Times New Roman"/>
          <w:sz w:val="24"/>
          <w:szCs w:val="24"/>
          <w:lang w:val="en-US"/>
        </w:rPr>
        <w:t>,</w:t>
      </w:r>
      <w:r w:rsidRPr="0099279C">
        <w:rPr>
          <w:rFonts w:cs="Times New Roman"/>
          <w:sz w:val="24"/>
          <w:szCs w:val="24"/>
          <w:lang w:val="en-US"/>
        </w:rPr>
        <w:t xml:space="preserve"> </w:t>
      </w:r>
      <w:r w:rsidR="006B7DDE">
        <w:rPr>
          <w:rFonts w:cs="Times New Roman"/>
          <w:sz w:val="24"/>
          <w:szCs w:val="24"/>
          <w:lang w:val="en-US"/>
        </w:rPr>
        <w:t xml:space="preserve">with an </w:t>
      </w:r>
      <w:r>
        <w:rPr>
          <w:rFonts w:cs="Times New Roman"/>
          <w:sz w:val="24"/>
          <w:szCs w:val="24"/>
          <w:lang w:val="en-US"/>
        </w:rPr>
        <w:t xml:space="preserve">application rate for each application </w:t>
      </w:r>
      <w:r w:rsidR="006B7DDE">
        <w:rPr>
          <w:rFonts w:cs="Times New Roman"/>
          <w:sz w:val="24"/>
          <w:szCs w:val="24"/>
          <w:lang w:val="en-US"/>
        </w:rPr>
        <w:t>of</w:t>
      </w:r>
      <w:r>
        <w:rPr>
          <w:rFonts w:cs="Times New Roman"/>
          <w:sz w:val="24"/>
          <w:szCs w:val="24"/>
          <w:lang w:val="en-US"/>
        </w:rPr>
        <w:t xml:space="preserve"> 32 kg bait/ha</w:t>
      </w:r>
      <w:r w:rsidRPr="0099279C">
        <w:rPr>
          <w:rFonts w:cs="Times New Roman"/>
          <w:sz w:val="24"/>
          <w:szCs w:val="24"/>
          <w:lang w:val="en-US"/>
        </w:rPr>
        <w:t xml:space="preserve">. </w:t>
      </w:r>
      <w:r>
        <w:rPr>
          <w:rFonts w:cs="Times New Roman"/>
          <w:sz w:val="24"/>
          <w:szCs w:val="24"/>
          <w:lang w:val="en-US"/>
        </w:rPr>
        <w:t>The diphacinone</w:t>
      </w:r>
      <w:r w:rsidRPr="0099279C">
        <w:rPr>
          <w:rFonts w:cs="Times New Roman"/>
          <w:sz w:val="24"/>
          <w:szCs w:val="24"/>
          <w:lang w:val="en-US"/>
        </w:rPr>
        <w:t xml:space="preserve"> formulation consists of grain-based pellets that weigh 1.1 g on average and have a target </w:t>
      </w:r>
      <w:r>
        <w:rPr>
          <w:rFonts w:cs="Times New Roman"/>
          <w:sz w:val="24"/>
          <w:szCs w:val="24"/>
          <w:lang w:val="en-US"/>
        </w:rPr>
        <w:t>diphacinone</w:t>
      </w:r>
      <w:r w:rsidRPr="0099279C">
        <w:rPr>
          <w:rFonts w:cs="Times New Roman"/>
          <w:sz w:val="24"/>
          <w:szCs w:val="24"/>
          <w:lang w:val="en-US"/>
        </w:rPr>
        <w:t xml:space="preserve"> concentration of </w:t>
      </w:r>
      <w:r>
        <w:rPr>
          <w:rFonts w:cs="Times New Roman"/>
          <w:sz w:val="24"/>
          <w:szCs w:val="24"/>
          <w:lang w:val="en-US"/>
        </w:rPr>
        <w:t>50</w:t>
      </w:r>
      <w:r w:rsidRPr="0099279C">
        <w:rPr>
          <w:rFonts w:cs="Times New Roman"/>
          <w:sz w:val="24"/>
          <w:szCs w:val="24"/>
          <w:lang w:val="en-US"/>
        </w:rPr>
        <w:t xml:space="preserve"> mg ai/kg pellet (i.e., 0.005% active ingredient in the formulation). The planned interval between applications is </w:t>
      </w:r>
      <w:r>
        <w:rPr>
          <w:rFonts w:cs="Times New Roman"/>
          <w:sz w:val="24"/>
          <w:szCs w:val="24"/>
          <w:lang w:val="en-US"/>
        </w:rPr>
        <w:t>7</w:t>
      </w:r>
      <w:r w:rsidRPr="0099279C">
        <w:rPr>
          <w:rFonts w:cs="Times New Roman"/>
          <w:sz w:val="24"/>
          <w:szCs w:val="24"/>
          <w:lang w:val="en-US"/>
        </w:rPr>
        <w:t xml:space="preserve"> days.</w:t>
      </w:r>
    </w:p>
    <w:p w:rsidR="00A673F7" w:rsidRDefault="00C105C5">
      <w:pPr>
        <w:pStyle w:val="Heading3"/>
      </w:pPr>
      <w:bookmarkStart w:id="20" w:name="_Toc343007922"/>
      <w:r>
        <w:t>Date of Initial Application</w:t>
      </w:r>
      <w:bookmarkEnd w:id="20"/>
    </w:p>
    <w:p w:rsidR="00A673F7" w:rsidRPr="006770A2" w:rsidRDefault="00D24F61">
      <w:pPr>
        <w:rPr>
          <w:sz w:val="24"/>
          <w:szCs w:val="24"/>
          <w:lang w:val="en-US"/>
        </w:rPr>
      </w:pPr>
      <w:r w:rsidRPr="00D24F61">
        <w:rPr>
          <w:sz w:val="24"/>
          <w:szCs w:val="24"/>
          <w:lang w:val="en-US"/>
        </w:rPr>
        <w:t xml:space="preserve">Bird counts in previous years on </w:t>
      </w:r>
      <w:r w:rsidR="00BE7C91">
        <w:rPr>
          <w:sz w:val="24"/>
          <w:szCs w:val="24"/>
          <w:lang w:val="en-US"/>
        </w:rPr>
        <w:t>SFI</w:t>
      </w:r>
      <w:r w:rsidRPr="00D24F61">
        <w:rPr>
          <w:sz w:val="24"/>
          <w:szCs w:val="24"/>
          <w:lang w:val="en-US"/>
        </w:rPr>
        <w:t xml:space="preserve"> indicate that western gulls occur in low numbers in early November and increase gradually to peak winter numbers in early to mid</w:t>
      </w:r>
      <w:r w:rsidR="006B7DDE">
        <w:rPr>
          <w:sz w:val="24"/>
          <w:szCs w:val="24"/>
          <w:lang w:val="en-US"/>
        </w:rPr>
        <w:t>-</w:t>
      </w:r>
      <w:r w:rsidRPr="00D24F61">
        <w:rPr>
          <w:sz w:val="24"/>
          <w:szCs w:val="24"/>
          <w:lang w:val="en-US"/>
        </w:rPr>
        <w:t xml:space="preserve">December. The number of gulls on </w:t>
      </w:r>
      <w:r w:rsidR="00BE7C91">
        <w:rPr>
          <w:sz w:val="24"/>
          <w:szCs w:val="24"/>
          <w:lang w:val="en-US"/>
        </w:rPr>
        <w:t>SFI</w:t>
      </w:r>
      <w:r w:rsidRPr="00D24F61">
        <w:rPr>
          <w:sz w:val="24"/>
          <w:szCs w:val="24"/>
          <w:lang w:val="en-US"/>
        </w:rPr>
        <w:t xml:space="preserve"> declines slightly beginning in February. Given this information, date of initial application could influence the number of affected gulls because fewer gulls will be present for the initial application if it takes place in early November. To explore the influence of date of initial application, separate model runs were conducted for each rodenticide assuming initial application dates of November 1, 8, 15, 22 and 29, and December 6, 13 and 20.</w:t>
      </w:r>
    </w:p>
    <w:p w:rsidR="00D32C62" w:rsidRPr="0099279C" w:rsidRDefault="00176C3F" w:rsidP="00101022">
      <w:pPr>
        <w:pStyle w:val="Heading3"/>
      </w:pPr>
      <w:bookmarkStart w:id="21" w:name="_Toc343007923"/>
      <w:r w:rsidRPr="0099279C">
        <w:t>Removal of Pellets</w:t>
      </w:r>
      <w:bookmarkEnd w:id="21"/>
    </w:p>
    <w:p w:rsidR="005876EA" w:rsidRPr="0099279C" w:rsidRDefault="005876EA" w:rsidP="005876EA">
      <w:pPr>
        <w:rPr>
          <w:rFonts w:cs="Times New Roman"/>
          <w:sz w:val="24"/>
          <w:szCs w:val="24"/>
          <w:lang w:val="en-US"/>
        </w:rPr>
      </w:pPr>
      <w:r w:rsidRPr="0099279C">
        <w:rPr>
          <w:rFonts w:cs="Times New Roman"/>
          <w:sz w:val="24"/>
          <w:szCs w:val="24"/>
          <w:lang w:val="en-US"/>
        </w:rPr>
        <w:t xml:space="preserve">Generally, cereal-based pellets disappear </w:t>
      </w:r>
      <w:r w:rsidR="00AF722D">
        <w:rPr>
          <w:rFonts w:cs="Times New Roman"/>
          <w:sz w:val="24"/>
          <w:szCs w:val="24"/>
          <w:lang w:val="en-US"/>
        </w:rPr>
        <w:t xml:space="preserve">rapidly </w:t>
      </w:r>
      <w:r w:rsidRPr="0099279C">
        <w:rPr>
          <w:rFonts w:cs="Times New Roman"/>
          <w:sz w:val="24"/>
          <w:szCs w:val="24"/>
          <w:lang w:val="en-US"/>
        </w:rPr>
        <w:t>from the environment due to degradation from rainfall, humidity, etc</w:t>
      </w:r>
      <w:r w:rsidR="00AB3F10">
        <w:rPr>
          <w:rFonts w:cs="Times New Roman"/>
          <w:sz w:val="24"/>
          <w:szCs w:val="24"/>
          <w:lang w:val="en-US"/>
        </w:rPr>
        <w:t>.</w:t>
      </w:r>
      <w:r w:rsidRPr="0099279C">
        <w:rPr>
          <w:rFonts w:cs="Times New Roman"/>
          <w:sz w:val="24"/>
          <w:szCs w:val="24"/>
          <w:lang w:val="en-US"/>
        </w:rPr>
        <w:t xml:space="preserve"> and from consumption by target organisms, i.e., mice in the case of </w:t>
      </w:r>
      <w:r w:rsidR="00BE7C91">
        <w:rPr>
          <w:rFonts w:cs="Times New Roman"/>
          <w:sz w:val="24"/>
          <w:szCs w:val="24"/>
          <w:lang w:val="en-US"/>
        </w:rPr>
        <w:t>SFI</w:t>
      </w:r>
      <w:r w:rsidRPr="0099279C">
        <w:rPr>
          <w:rFonts w:cs="Times New Roman"/>
          <w:sz w:val="24"/>
          <w:szCs w:val="24"/>
          <w:lang w:val="en-US"/>
        </w:rPr>
        <w:t xml:space="preserve"> (Buck</w:t>
      </w:r>
      <w:r w:rsidR="00AB3F10">
        <w:rPr>
          <w:rFonts w:cs="Times New Roman"/>
          <w:sz w:val="24"/>
          <w:szCs w:val="24"/>
          <w:lang w:val="en-US"/>
        </w:rPr>
        <w:t>e</w:t>
      </w:r>
      <w:r w:rsidRPr="0099279C">
        <w:rPr>
          <w:rFonts w:cs="Times New Roman"/>
          <w:sz w:val="24"/>
          <w:szCs w:val="24"/>
          <w:lang w:val="en-US"/>
        </w:rPr>
        <w:t xml:space="preserve">lew et al., 2005). Trials conducted at </w:t>
      </w:r>
      <w:r w:rsidR="00BE7C91">
        <w:rPr>
          <w:rFonts w:cs="Times New Roman"/>
          <w:sz w:val="24"/>
          <w:szCs w:val="24"/>
          <w:lang w:val="en-US"/>
        </w:rPr>
        <w:t>SFI</w:t>
      </w:r>
      <w:r w:rsidRPr="0099279C">
        <w:rPr>
          <w:rFonts w:cs="Times New Roman"/>
          <w:sz w:val="24"/>
          <w:szCs w:val="24"/>
          <w:lang w:val="en-US"/>
        </w:rPr>
        <w:t xml:space="preserve"> in November 2010 demonstrated that non-toxic pellets (i.e., pellets without </w:t>
      </w:r>
      <w:r w:rsidR="00024624">
        <w:rPr>
          <w:rFonts w:cs="Times New Roman"/>
          <w:sz w:val="24"/>
          <w:szCs w:val="24"/>
          <w:lang w:val="en-US"/>
        </w:rPr>
        <w:t>rodenticide</w:t>
      </w:r>
      <w:r w:rsidRPr="0099279C">
        <w:rPr>
          <w:rFonts w:cs="Times New Roman"/>
          <w:sz w:val="24"/>
          <w:szCs w:val="24"/>
          <w:lang w:val="en-US"/>
        </w:rPr>
        <w:t xml:space="preserve">) disappeared in 3-5 days </w:t>
      </w:r>
      <w:r w:rsidR="00933652">
        <w:rPr>
          <w:rFonts w:cs="Times New Roman"/>
          <w:sz w:val="24"/>
          <w:szCs w:val="24"/>
          <w:lang w:val="en-US"/>
        </w:rPr>
        <w:t xml:space="preserve">after the first application </w:t>
      </w:r>
      <w:r w:rsidR="000C22FC" w:rsidRPr="0099279C">
        <w:rPr>
          <w:rFonts w:cs="Times New Roman"/>
          <w:sz w:val="24"/>
          <w:szCs w:val="24"/>
          <w:lang w:val="en-US"/>
        </w:rPr>
        <w:t>(</w:t>
      </w:r>
      <w:r w:rsidR="002A7586">
        <w:rPr>
          <w:rFonts w:cs="Times New Roman"/>
          <w:sz w:val="24"/>
          <w:szCs w:val="24"/>
          <w:lang w:val="en-US"/>
        </w:rPr>
        <w:t>Grout</w:t>
      </w:r>
      <w:r w:rsidR="00F23915">
        <w:rPr>
          <w:rFonts w:cs="Times New Roman"/>
          <w:sz w:val="24"/>
          <w:szCs w:val="24"/>
          <w:lang w:val="en-US"/>
        </w:rPr>
        <w:t>,</w:t>
      </w:r>
      <w:r w:rsidR="002A7586">
        <w:rPr>
          <w:rFonts w:cs="Times New Roman"/>
          <w:sz w:val="24"/>
          <w:szCs w:val="24"/>
          <w:lang w:val="en-US"/>
        </w:rPr>
        <w:t xml:space="preserve"> 2012</w:t>
      </w:r>
      <w:r w:rsidR="000C22FC" w:rsidRPr="0099279C">
        <w:rPr>
          <w:rFonts w:cs="Times New Roman"/>
          <w:sz w:val="24"/>
          <w:szCs w:val="24"/>
          <w:lang w:val="en-US"/>
        </w:rPr>
        <w:t>)</w:t>
      </w:r>
      <w:r w:rsidRPr="0099279C">
        <w:rPr>
          <w:rFonts w:cs="Times New Roman"/>
          <w:sz w:val="24"/>
          <w:szCs w:val="24"/>
          <w:lang w:val="en-US"/>
        </w:rPr>
        <w:t xml:space="preserve">. Such a range suggests a pellet half-life following the first application of 1 day. </w:t>
      </w:r>
      <w:r w:rsidR="00A12C7B">
        <w:rPr>
          <w:rFonts w:cs="Times New Roman"/>
          <w:sz w:val="24"/>
          <w:szCs w:val="24"/>
          <w:lang w:val="en-US"/>
        </w:rPr>
        <w:t>Near total</w:t>
      </w:r>
      <w:r w:rsidR="00024624">
        <w:rPr>
          <w:rFonts w:cs="Times New Roman"/>
          <w:sz w:val="24"/>
          <w:szCs w:val="24"/>
          <w:lang w:val="en-US"/>
        </w:rPr>
        <w:t xml:space="preserve"> removal of pellets </w:t>
      </w:r>
      <w:r w:rsidR="00A12C7B">
        <w:rPr>
          <w:rFonts w:cs="Times New Roman"/>
          <w:sz w:val="24"/>
          <w:szCs w:val="24"/>
          <w:lang w:val="en-US"/>
        </w:rPr>
        <w:t xml:space="preserve">within a few days </w:t>
      </w:r>
      <w:r w:rsidR="00024624">
        <w:rPr>
          <w:rFonts w:cs="Times New Roman"/>
          <w:sz w:val="24"/>
          <w:szCs w:val="24"/>
          <w:lang w:val="en-US"/>
        </w:rPr>
        <w:t>ha</w:t>
      </w:r>
      <w:r w:rsidR="00A12C7B">
        <w:rPr>
          <w:rFonts w:cs="Times New Roman"/>
          <w:sz w:val="24"/>
          <w:szCs w:val="24"/>
          <w:lang w:val="en-US"/>
        </w:rPr>
        <w:t>s</w:t>
      </w:r>
      <w:r w:rsidR="00024624">
        <w:rPr>
          <w:rFonts w:cs="Times New Roman"/>
          <w:sz w:val="24"/>
          <w:szCs w:val="24"/>
          <w:lang w:val="en-US"/>
        </w:rPr>
        <w:t xml:space="preserve"> also been observed on other islands with high densities of rodents (e.g., </w:t>
      </w:r>
      <w:r w:rsidR="00A12C7B">
        <w:rPr>
          <w:rFonts w:cs="Times New Roman"/>
          <w:sz w:val="24"/>
          <w:szCs w:val="24"/>
          <w:lang w:val="en-US"/>
        </w:rPr>
        <w:t xml:space="preserve">Round Island, Merton, 1987; </w:t>
      </w:r>
      <w:r w:rsidR="00024624">
        <w:rPr>
          <w:rFonts w:cs="Times New Roman"/>
          <w:sz w:val="24"/>
          <w:szCs w:val="24"/>
          <w:lang w:val="en-US"/>
        </w:rPr>
        <w:t>Anacapa Island, Howald et al., 2001</w:t>
      </w:r>
      <w:r w:rsidR="00B9602A">
        <w:rPr>
          <w:rFonts w:cs="Times New Roman"/>
          <w:sz w:val="24"/>
          <w:szCs w:val="24"/>
          <w:lang w:val="en-US"/>
        </w:rPr>
        <w:t>; Gough Island, Wanless et al., 2009</w:t>
      </w:r>
      <w:r w:rsidR="00024624">
        <w:rPr>
          <w:rFonts w:cs="Times New Roman"/>
          <w:sz w:val="24"/>
          <w:szCs w:val="24"/>
          <w:lang w:val="en-US"/>
        </w:rPr>
        <w:t xml:space="preserve">). Thus, a half-life of 1 day for removal of pellets following initial application was assumed </w:t>
      </w:r>
      <w:r w:rsidR="00A12C7B">
        <w:rPr>
          <w:rFonts w:cs="Times New Roman"/>
          <w:sz w:val="24"/>
          <w:szCs w:val="24"/>
          <w:lang w:val="en-US"/>
        </w:rPr>
        <w:t>in this assessment</w:t>
      </w:r>
      <w:r w:rsidR="00024624">
        <w:rPr>
          <w:rFonts w:cs="Times New Roman"/>
          <w:sz w:val="24"/>
          <w:szCs w:val="24"/>
          <w:lang w:val="en-US"/>
        </w:rPr>
        <w:t>.</w:t>
      </w:r>
    </w:p>
    <w:p w:rsidR="005876EA" w:rsidRDefault="00DE6D18" w:rsidP="005876EA">
      <w:pPr>
        <w:rPr>
          <w:rFonts w:cs="Times New Roman"/>
          <w:sz w:val="24"/>
          <w:szCs w:val="24"/>
          <w:lang w:val="en-US"/>
        </w:rPr>
      </w:pPr>
      <w:r w:rsidRPr="0099279C">
        <w:rPr>
          <w:rFonts w:cs="Times New Roman"/>
          <w:sz w:val="24"/>
          <w:szCs w:val="24"/>
          <w:lang w:val="en-US"/>
        </w:rPr>
        <w:t>Mice are not expected to be present in significant numbers at the time of the second application of brodifacoum</w:t>
      </w:r>
      <w:r w:rsidR="005737E5">
        <w:rPr>
          <w:rFonts w:cs="Times New Roman"/>
          <w:sz w:val="24"/>
          <w:szCs w:val="24"/>
          <w:lang w:val="en-US"/>
        </w:rPr>
        <w:t xml:space="preserve"> or third application of diphacinone</w:t>
      </w:r>
      <w:r w:rsidRPr="0099279C">
        <w:rPr>
          <w:rFonts w:cs="Times New Roman"/>
          <w:sz w:val="24"/>
          <w:szCs w:val="24"/>
          <w:lang w:val="en-US"/>
        </w:rPr>
        <w:t xml:space="preserve">. As a result, the likely major removal mechanism for pellets from the </w:t>
      </w:r>
      <w:r w:rsidR="00BE7C91">
        <w:rPr>
          <w:rFonts w:cs="Times New Roman"/>
          <w:sz w:val="24"/>
          <w:szCs w:val="24"/>
          <w:lang w:val="en-US"/>
        </w:rPr>
        <w:t>SFI</w:t>
      </w:r>
      <w:r w:rsidRPr="0099279C">
        <w:rPr>
          <w:rFonts w:cs="Times New Roman"/>
          <w:sz w:val="24"/>
          <w:szCs w:val="24"/>
          <w:lang w:val="en-US"/>
        </w:rPr>
        <w:t xml:space="preserve"> environment </w:t>
      </w:r>
      <w:r w:rsidR="005737E5">
        <w:rPr>
          <w:rFonts w:cs="Times New Roman"/>
          <w:sz w:val="24"/>
          <w:szCs w:val="24"/>
          <w:lang w:val="en-US"/>
        </w:rPr>
        <w:t xml:space="preserve">following the final rodenticide applications </w:t>
      </w:r>
      <w:r w:rsidRPr="0099279C">
        <w:rPr>
          <w:rFonts w:cs="Times New Roman"/>
          <w:sz w:val="24"/>
          <w:szCs w:val="24"/>
          <w:lang w:val="en-US"/>
        </w:rPr>
        <w:t xml:space="preserve">will be disintegration </w:t>
      </w:r>
      <w:r w:rsidR="000C22FC" w:rsidRPr="0099279C">
        <w:rPr>
          <w:rFonts w:cs="Times New Roman"/>
          <w:sz w:val="24"/>
          <w:szCs w:val="24"/>
          <w:lang w:val="en-US"/>
        </w:rPr>
        <w:t>following</w:t>
      </w:r>
      <w:r w:rsidRPr="0099279C">
        <w:rPr>
          <w:rFonts w:cs="Times New Roman"/>
          <w:sz w:val="24"/>
          <w:szCs w:val="24"/>
          <w:lang w:val="en-US"/>
        </w:rPr>
        <w:t xml:space="preserve"> a significant rainfall event</w:t>
      </w:r>
      <w:r w:rsidR="00811472">
        <w:rPr>
          <w:rFonts w:cs="Times New Roman"/>
          <w:sz w:val="24"/>
          <w:szCs w:val="24"/>
          <w:lang w:val="en-US"/>
        </w:rPr>
        <w:t xml:space="preserve"> (Howald et al., 2001; Gregg Howald, pers. </w:t>
      </w:r>
      <w:r w:rsidR="006C1986">
        <w:rPr>
          <w:rFonts w:cs="Times New Roman"/>
          <w:sz w:val="24"/>
          <w:szCs w:val="24"/>
          <w:lang w:val="en-US"/>
        </w:rPr>
        <w:t>c</w:t>
      </w:r>
      <w:r w:rsidR="00811472">
        <w:rPr>
          <w:rFonts w:cs="Times New Roman"/>
          <w:sz w:val="24"/>
          <w:szCs w:val="24"/>
          <w:lang w:val="en-US"/>
        </w:rPr>
        <w:t>omm.)</w:t>
      </w:r>
      <w:r w:rsidRPr="0099279C">
        <w:rPr>
          <w:rFonts w:cs="Times New Roman"/>
          <w:sz w:val="24"/>
          <w:szCs w:val="24"/>
          <w:lang w:val="en-US"/>
        </w:rPr>
        <w:t xml:space="preserve">. </w:t>
      </w:r>
      <w:r w:rsidR="000E7C60" w:rsidRPr="000E7C60">
        <w:rPr>
          <w:rFonts w:cs="Times New Roman"/>
          <w:sz w:val="24"/>
          <w:szCs w:val="24"/>
          <w:lang w:val="en-US"/>
        </w:rPr>
        <w:t xml:space="preserve">A significant rainfall event is one sufficient to initiate pellet degradation, which according to manufacturer and applicator experience, was defined as at least 2 inches (5 cm) of rain occurring over a period of 1-3 days. Merton (1987) previously observed that pellet effectiveness is eliminated with rainfall events of 4 cm (1.6 in) or greater. </w:t>
      </w:r>
      <w:r w:rsidRPr="0099279C">
        <w:rPr>
          <w:rFonts w:cs="Times New Roman"/>
          <w:sz w:val="24"/>
          <w:szCs w:val="24"/>
          <w:lang w:val="en-US"/>
        </w:rPr>
        <w:t xml:space="preserve">Daily rainfall data have been collected at </w:t>
      </w:r>
      <w:r w:rsidR="00BE7C91">
        <w:rPr>
          <w:rFonts w:cs="Times New Roman"/>
          <w:sz w:val="24"/>
          <w:szCs w:val="24"/>
          <w:lang w:val="en-US"/>
        </w:rPr>
        <w:t>SFI</w:t>
      </w:r>
      <w:r w:rsidRPr="0099279C">
        <w:rPr>
          <w:rFonts w:cs="Times New Roman"/>
          <w:sz w:val="24"/>
          <w:szCs w:val="24"/>
          <w:lang w:val="en-US"/>
        </w:rPr>
        <w:t xml:space="preserve"> since 1972. We isolated the rainfall data for the months of November and December for each year that data had been compiled (1972-2010). We then calculated 3-day running averages and determined the probability of a significant rainfall event for any 3-day period at </w:t>
      </w:r>
      <w:r w:rsidR="00BE7C91">
        <w:rPr>
          <w:rFonts w:cs="Times New Roman"/>
          <w:sz w:val="24"/>
          <w:szCs w:val="24"/>
          <w:lang w:val="en-US"/>
        </w:rPr>
        <w:t>SFI</w:t>
      </w:r>
      <w:r w:rsidRPr="0099279C">
        <w:rPr>
          <w:rFonts w:cs="Times New Roman"/>
          <w:sz w:val="24"/>
          <w:szCs w:val="24"/>
          <w:lang w:val="en-US"/>
        </w:rPr>
        <w:t xml:space="preserve"> in November and December. The probability of </w:t>
      </w:r>
      <w:r w:rsidR="00207366" w:rsidRPr="0099279C">
        <w:rPr>
          <w:rFonts w:cs="Times New Roman"/>
          <w:sz w:val="24"/>
          <w:szCs w:val="24"/>
          <w:lang w:val="en-US"/>
        </w:rPr>
        <w:t>such an event</w:t>
      </w:r>
      <w:r w:rsidRPr="0099279C">
        <w:rPr>
          <w:rFonts w:cs="Times New Roman"/>
          <w:sz w:val="24"/>
          <w:szCs w:val="24"/>
          <w:lang w:val="en-US"/>
        </w:rPr>
        <w:t xml:space="preserve"> is 2.58%. </w:t>
      </w:r>
      <w:r w:rsidR="006B7DDE">
        <w:rPr>
          <w:rFonts w:cs="Times New Roman"/>
          <w:sz w:val="24"/>
          <w:szCs w:val="24"/>
          <w:lang w:val="en-US"/>
        </w:rPr>
        <w:t xml:space="preserve">Based on </w:t>
      </w:r>
      <w:r w:rsidR="00F12080">
        <w:rPr>
          <w:rFonts w:cs="Times New Roman"/>
          <w:sz w:val="24"/>
          <w:szCs w:val="24"/>
          <w:lang w:val="en-US"/>
        </w:rPr>
        <w:t xml:space="preserve">information provided from </w:t>
      </w:r>
      <w:r w:rsidR="006B7DDE">
        <w:rPr>
          <w:rFonts w:cs="Times New Roman"/>
          <w:sz w:val="24"/>
          <w:szCs w:val="24"/>
          <w:lang w:val="en-US"/>
        </w:rPr>
        <w:t>preliminary planning</w:t>
      </w:r>
      <w:r w:rsidR="00066663" w:rsidRPr="0099279C">
        <w:rPr>
          <w:rFonts w:cs="Times New Roman"/>
          <w:sz w:val="24"/>
          <w:szCs w:val="24"/>
          <w:lang w:val="en-US"/>
        </w:rPr>
        <w:t>, application of brodifacoum would only occur if little or no precipitation was forecast for at least 4 days. Thus,</w:t>
      </w:r>
      <w:r w:rsidR="00207366" w:rsidRPr="0099279C">
        <w:rPr>
          <w:rFonts w:cs="Times New Roman"/>
          <w:sz w:val="24"/>
          <w:szCs w:val="24"/>
          <w:lang w:val="en-US"/>
        </w:rPr>
        <w:t xml:space="preserve"> the</w:t>
      </w:r>
      <w:r w:rsidR="00066663" w:rsidRPr="0099279C">
        <w:rPr>
          <w:rFonts w:cs="Times New Roman"/>
          <w:sz w:val="24"/>
          <w:szCs w:val="24"/>
          <w:lang w:val="en-US"/>
        </w:rPr>
        <w:t xml:space="preserve"> best case scenario is for rain to occur 4 days after the </w:t>
      </w:r>
      <w:r w:rsidR="005737E5">
        <w:rPr>
          <w:rFonts w:cs="Times New Roman"/>
          <w:sz w:val="24"/>
          <w:szCs w:val="24"/>
          <w:lang w:val="en-US"/>
        </w:rPr>
        <w:t>final</w:t>
      </w:r>
      <w:r w:rsidR="005737E5" w:rsidRPr="0099279C">
        <w:rPr>
          <w:rFonts w:cs="Times New Roman"/>
          <w:sz w:val="24"/>
          <w:szCs w:val="24"/>
          <w:lang w:val="en-US"/>
        </w:rPr>
        <w:t xml:space="preserve"> </w:t>
      </w:r>
      <w:r w:rsidR="00066663" w:rsidRPr="0099279C">
        <w:rPr>
          <w:rFonts w:cs="Times New Roman"/>
          <w:sz w:val="24"/>
          <w:szCs w:val="24"/>
          <w:lang w:val="en-US"/>
        </w:rPr>
        <w:t xml:space="preserve">application of </w:t>
      </w:r>
      <w:r w:rsidR="005737E5">
        <w:rPr>
          <w:rFonts w:cs="Times New Roman"/>
          <w:sz w:val="24"/>
          <w:szCs w:val="24"/>
          <w:lang w:val="en-US"/>
        </w:rPr>
        <w:t>rodenticide</w:t>
      </w:r>
      <w:r w:rsidR="00066663" w:rsidRPr="0099279C">
        <w:rPr>
          <w:rFonts w:cs="Times New Roman"/>
          <w:sz w:val="24"/>
          <w:szCs w:val="24"/>
          <w:lang w:val="en-US"/>
        </w:rPr>
        <w:t xml:space="preserve">. </w:t>
      </w:r>
      <w:r w:rsidR="005737E5">
        <w:rPr>
          <w:rFonts w:cs="Times New Roman"/>
          <w:sz w:val="24"/>
          <w:szCs w:val="24"/>
          <w:lang w:val="en-US"/>
        </w:rPr>
        <w:t>A</w:t>
      </w:r>
      <w:r w:rsidR="00207366" w:rsidRPr="0099279C">
        <w:rPr>
          <w:rFonts w:cs="Times New Roman"/>
          <w:sz w:val="24"/>
          <w:szCs w:val="24"/>
          <w:lang w:val="en-US"/>
        </w:rPr>
        <w:t>s</w:t>
      </w:r>
      <w:r w:rsidR="00066663" w:rsidRPr="0099279C">
        <w:rPr>
          <w:rFonts w:cs="Times New Roman"/>
          <w:sz w:val="24"/>
          <w:szCs w:val="24"/>
          <w:lang w:val="en-US"/>
        </w:rPr>
        <w:t>sum</w:t>
      </w:r>
      <w:r w:rsidR="005737E5">
        <w:rPr>
          <w:rFonts w:cs="Times New Roman"/>
          <w:sz w:val="24"/>
          <w:szCs w:val="24"/>
          <w:lang w:val="en-US"/>
        </w:rPr>
        <w:t>ing</w:t>
      </w:r>
      <w:r w:rsidR="00066663" w:rsidRPr="0099279C">
        <w:rPr>
          <w:rFonts w:cs="Times New Roman"/>
          <w:sz w:val="24"/>
          <w:szCs w:val="24"/>
          <w:lang w:val="en-US"/>
        </w:rPr>
        <w:t xml:space="preserve"> a 2.58% probability of a significant rainfall event for any given 3-day period and an underlying binomial distribution</w:t>
      </w:r>
      <w:r w:rsidR="005737E5">
        <w:rPr>
          <w:rFonts w:cs="Times New Roman"/>
          <w:sz w:val="24"/>
          <w:szCs w:val="24"/>
          <w:lang w:val="en-US"/>
        </w:rPr>
        <w:t>,</w:t>
      </w:r>
      <w:r w:rsidR="00207366" w:rsidRPr="0099279C">
        <w:rPr>
          <w:rFonts w:cs="Times New Roman"/>
          <w:sz w:val="24"/>
          <w:szCs w:val="24"/>
          <w:lang w:val="en-US"/>
        </w:rPr>
        <w:t xml:space="preserve"> </w:t>
      </w:r>
      <w:r w:rsidR="005737E5">
        <w:rPr>
          <w:rFonts w:cs="Times New Roman"/>
          <w:sz w:val="24"/>
          <w:szCs w:val="24"/>
          <w:lang w:val="en-US"/>
        </w:rPr>
        <w:t>t</w:t>
      </w:r>
      <w:r w:rsidR="005737E5" w:rsidRPr="0099279C">
        <w:rPr>
          <w:rFonts w:cs="Times New Roman"/>
          <w:sz w:val="24"/>
          <w:szCs w:val="24"/>
          <w:lang w:val="en-US"/>
        </w:rPr>
        <w:t xml:space="preserve">he </w:t>
      </w:r>
      <w:r w:rsidR="00207366" w:rsidRPr="0099279C">
        <w:rPr>
          <w:rFonts w:cs="Times New Roman"/>
          <w:sz w:val="24"/>
          <w:szCs w:val="24"/>
          <w:lang w:val="en-US"/>
        </w:rPr>
        <w:t>resulting</w:t>
      </w:r>
      <w:r w:rsidR="00066663" w:rsidRPr="0099279C">
        <w:rPr>
          <w:rFonts w:cs="Times New Roman"/>
          <w:sz w:val="24"/>
          <w:szCs w:val="24"/>
          <w:lang w:val="en-US"/>
        </w:rPr>
        <w:t xml:space="preserve"> median </w:t>
      </w:r>
      <w:r w:rsidR="00EC023D" w:rsidRPr="0099279C">
        <w:rPr>
          <w:rFonts w:cs="Times New Roman"/>
          <w:sz w:val="24"/>
          <w:szCs w:val="24"/>
          <w:lang w:val="en-US"/>
        </w:rPr>
        <w:t xml:space="preserve">(i.e., most likely) </w:t>
      </w:r>
      <w:r w:rsidR="00066663" w:rsidRPr="0099279C">
        <w:rPr>
          <w:rFonts w:cs="Times New Roman"/>
          <w:sz w:val="24"/>
          <w:szCs w:val="24"/>
          <w:lang w:val="en-US"/>
        </w:rPr>
        <w:t xml:space="preserve">estimate of time to first significant rainfall event </w:t>
      </w:r>
      <w:r w:rsidR="000C22FC" w:rsidRPr="0099279C">
        <w:rPr>
          <w:rFonts w:cs="Times New Roman"/>
          <w:sz w:val="24"/>
          <w:szCs w:val="24"/>
          <w:lang w:val="en-US"/>
        </w:rPr>
        <w:t>i</w:t>
      </w:r>
      <w:r w:rsidR="00207366" w:rsidRPr="0099279C">
        <w:rPr>
          <w:rFonts w:cs="Times New Roman"/>
          <w:sz w:val="24"/>
          <w:szCs w:val="24"/>
          <w:lang w:val="en-US"/>
        </w:rPr>
        <w:t>s</w:t>
      </w:r>
      <w:r w:rsidR="00066663" w:rsidRPr="0099279C">
        <w:rPr>
          <w:rFonts w:cs="Times New Roman"/>
          <w:sz w:val="24"/>
          <w:szCs w:val="24"/>
          <w:lang w:val="en-US"/>
        </w:rPr>
        <w:t xml:space="preserve"> 28 days. The worst case value </w:t>
      </w:r>
      <w:r w:rsidR="00567CF0">
        <w:rPr>
          <w:rFonts w:cs="Times New Roman"/>
          <w:sz w:val="24"/>
          <w:szCs w:val="24"/>
          <w:lang w:val="en-US"/>
        </w:rPr>
        <w:t>was assumed to be</w:t>
      </w:r>
      <w:r w:rsidR="00567CF0" w:rsidRPr="0099279C">
        <w:rPr>
          <w:rFonts w:cs="Times New Roman"/>
          <w:sz w:val="24"/>
          <w:szCs w:val="24"/>
          <w:lang w:val="en-US"/>
        </w:rPr>
        <w:t xml:space="preserve"> </w:t>
      </w:r>
      <w:r w:rsidR="00066663" w:rsidRPr="0099279C">
        <w:rPr>
          <w:rFonts w:cs="Times New Roman"/>
          <w:sz w:val="24"/>
          <w:szCs w:val="24"/>
          <w:lang w:val="en-US"/>
        </w:rPr>
        <w:t>the corresponding 95</w:t>
      </w:r>
      <w:r w:rsidR="00066663" w:rsidRPr="0099279C">
        <w:rPr>
          <w:rFonts w:cs="Times New Roman"/>
          <w:sz w:val="24"/>
          <w:szCs w:val="24"/>
          <w:vertAlign w:val="superscript"/>
          <w:lang w:val="en-US"/>
        </w:rPr>
        <w:t>th</w:t>
      </w:r>
      <w:r w:rsidR="00066663" w:rsidRPr="0099279C">
        <w:rPr>
          <w:rFonts w:cs="Times New Roman"/>
          <w:sz w:val="24"/>
          <w:szCs w:val="24"/>
          <w:lang w:val="en-US"/>
        </w:rPr>
        <w:t xml:space="preserve"> percentile which </w:t>
      </w:r>
      <w:r w:rsidR="00EC023D" w:rsidRPr="0099279C">
        <w:rPr>
          <w:rFonts w:cs="Times New Roman"/>
          <w:sz w:val="24"/>
          <w:szCs w:val="24"/>
          <w:lang w:val="en-US"/>
        </w:rPr>
        <w:t>is</w:t>
      </w:r>
      <w:r w:rsidR="00066663" w:rsidRPr="0099279C">
        <w:rPr>
          <w:rFonts w:cs="Times New Roman"/>
          <w:sz w:val="24"/>
          <w:szCs w:val="24"/>
          <w:lang w:val="en-US"/>
        </w:rPr>
        <w:t xml:space="preserve"> 117 days</w:t>
      </w:r>
      <w:r w:rsidR="005737E5">
        <w:rPr>
          <w:rFonts w:cs="Times New Roman"/>
          <w:sz w:val="24"/>
          <w:szCs w:val="24"/>
          <w:lang w:val="en-US"/>
        </w:rPr>
        <w:t xml:space="preserve"> (i.e., rainfall event does not occur within 90-day model simulation)</w:t>
      </w:r>
      <w:r w:rsidR="00066663" w:rsidRPr="0099279C">
        <w:rPr>
          <w:rFonts w:cs="Times New Roman"/>
          <w:sz w:val="24"/>
          <w:szCs w:val="24"/>
          <w:lang w:val="en-US"/>
        </w:rPr>
        <w:t>.</w:t>
      </w:r>
      <w:r w:rsidR="005737E5">
        <w:rPr>
          <w:rFonts w:cs="Times New Roman"/>
          <w:sz w:val="24"/>
          <w:szCs w:val="24"/>
          <w:lang w:val="en-US"/>
        </w:rPr>
        <w:t xml:space="preserve"> In this assessment, model runs were conducted assuming a first significant rainfall event after the final application of </w:t>
      </w:r>
      <w:r w:rsidR="00567CF0">
        <w:rPr>
          <w:rFonts w:cs="Times New Roman"/>
          <w:sz w:val="24"/>
          <w:szCs w:val="24"/>
          <w:lang w:val="en-US"/>
        </w:rPr>
        <w:t>4</w:t>
      </w:r>
      <w:r w:rsidR="005737E5">
        <w:rPr>
          <w:rFonts w:cs="Times New Roman"/>
          <w:sz w:val="24"/>
          <w:szCs w:val="24"/>
          <w:lang w:val="en-US"/>
        </w:rPr>
        <w:t>, 28 and 117 days</w:t>
      </w:r>
      <w:r w:rsidR="00811472">
        <w:rPr>
          <w:rStyle w:val="FootnoteReference"/>
          <w:rFonts w:cs="Times New Roman"/>
          <w:sz w:val="24"/>
          <w:szCs w:val="24"/>
          <w:lang w:val="en-US"/>
        </w:rPr>
        <w:footnoteReference w:id="1"/>
      </w:r>
      <w:r w:rsidR="005737E5">
        <w:rPr>
          <w:rFonts w:cs="Times New Roman"/>
          <w:sz w:val="24"/>
          <w:szCs w:val="24"/>
          <w:lang w:val="en-US"/>
        </w:rPr>
        <w:t>.</w:t>
      </w:r>
      <w:r w:rsidR="00AB3F10">
        <w:rPr>
          <w:rFonts w:cs="Times New Roman"/>
          <w:sz w:val="24"/>
          <w:szCs w:val="24"/>
          <w:lang w:val="en-US"/>
        </w:rPr>
        <w:t xml:space="preserve"> The 117 day data point </w:t>
      </w:r>
      <w:r w:rsidR="00B07ECD">
        <w:rPr>
          <w:rFonts w:cs="Times New Roman"/>
          <w:sz w:val="24"/>
          <w:szCs w:val="24"/>
          <w:lang w:val="en-US"/>
        </w:rPr>
        <w:t xml:space="preserve">likely </w:t>
      </w:r>
      <w:r w:rsidR="00AB3F10">
        <w:rPr>
          <w:rFonts w:cs="Times New Roman"/>
          <w:sz w:val="24"/>
          <w:szCs w:val="24"/>
          <w:lang w:val="en-US"/>
        </w:rPr>
        <w:t xml:space="preserve">overestimates the risk </w:t>
      </w:r>
      <w:r w:rsidR="00B07ECD">
        <w:rPr>
          <w:rFonts w:cs="Times New Roman"/>
          <w:sz w:val="24"/>
          <w:szCs w:val="24"/>
          <w:lang w:val="en-US"/>
        </w:rPr>
        <w:t>associated with bait being present for this duration because rainfall probabilities increase considerably in the months of January and February.</w:t>
      </w:r>
    </w:p>
    <w:p w:rsidR="00066663" w:rsidRPr="0099279C" w:rsidRDefault="00DA4040" w:rsidP="00375BF1">
      <w:pPr>
        <w:spacing w:after="0"/>
        <w:rPr>
          <w:rFonts w:cs="Times New Roman"/>
          <w:sz w:val="24"/>
          <w:szCs w:val="24"/>
          <w:lang w:val="en-US"/>
        </w:rPr>
      </w:pPr>
      <w:r w:rsidRPr="0099279C">
        <w:rPr>
          <w:rFonts w:cs="Times New Roman"/>
          <w:sz w:val="24"/>
          <w:szCs w:val="24"/>
          <w:lang w:val="en-US"/>
        </w:rPr>
        <w:t xml:space="preserve">A significant rainfall event will not lead to immediate disintegration of </w:t>
      </w:r>
      <w:r w:rsidR="00BE1A15">
        <w:rPr>
          <w:rFonts w:cs="Times New Roman"/>
          <w:sz w:val="24"/>
          <w:szCs w:val="24"/>
          <w:lang w:val="en-US"/>
        </w:rPr>
        <w:t>rodenticide</w:t>
      </w:r>
      <w:r w:rsidR="00BE1A15" w:rsidRPr="0099279C">
        <w:rPr>
          <w:rFonts w:cs="Times New Roman"/>
          <w:sz w:val="24"/>
          <w:szCs w:val="24"/>
          <w:lang w:val="en-US"/>
        </w:rPr>
        <w:t xml:space="preserve"> </w:t>
      </w:r>
      <w:r w:rsidRPr="0099279C">
        <w:rPr>
          <w:rFonts w:cs="Times New Roman"/>
          <w:sz w:val="24"/>
          <w:szCs w:val="24"/>
          <w:lang w:val="en-US"/>
        </w:rPr>
        <w:t>pellets. Based on observations of pellets during the SEFI trials in November 2010, Dan Grout of Island Conservation cited a range of 2-7 days for removal of pellets via disintegration following a significant rainfall event</w:t>
      </w:r>
      <w:r w:rsidR="00DD260C">
        <w:rPr>
          <w:rFonts w:cs="Times New Roman"/>
          <w:sz w:val="24"/>
          <w:szCs w:val="24"/>
          <w:lang w:val="en-US"/>
        </w:rPr>
        <w:t xml:space="preserve"> (see also Moser et al., 2007; Howald et al., 2001, 2004)</w:t>
      </w:r>
      <w:r w:rsidRPr="0099279C">
        <w:rPr>
          <w:rFonts w:cs="Times New Roman"/>
          <w:sz w:val="24"/>
          <w:szCs w:val="24"/>
          <w:lang w:val="en-US"/>
        </w:rPr>
        <w:t xml:space="preserve">. </w:t>
      </w:r>
      <w:r w:rsidR="00DD260C">
        <w:rPr>
          <w:rFonts w:cs="Times New Roman"/>
          <w:sz w:val="24"/>
          <w:szCs w:val="24"/>
          <w:lang w:val="en-US"/>
        </w:rPr>
        <w:t xml:space="preserve">Howald et al. (2004) showed that 2 g brodifacoum pellets (dry formulation) were disintegrating within 3 days when there was 1 inch of rain per day. </w:t>
      </w:r>
      <w:r w:rsidR="00AA174D">
        <w:rPr>
          <w:rFonts w:cs="Times New Roman"/>
          <w:sz w:val="24"/>
          <w:szCs w:val="24"/>
          <w:lang w:val="en-US"/>
        </w:rPr>
        <w:t xml:space="preserve">Even with small rainfall events, much </w:t>
      </w:r>
      <w:r w:rsidR="006B4FF9">
        <w:rPr>
          <w:rFonts w:cs="Times New Roman"/>
          <w:sz w:val="24"/>
          <w:szCs w:val="24"/>
          <w:lang w:val="en-US"/>
        </w:rPr>
        <w:t xml:space="preserve">of </w:t>
      </w:r>
      <w:r w:rsidR="00AA174D">
        <w:rPr>
          <w:rFonts w:cs="Times New Roman"/>
          <w:sz w:val="24"/>
          <w:szCs w:val="24"/>
          <w:lang w:val="en-US"/>
        </w:rPr>
        <w:t xml:space="preserve">the annual vegetation growth on </w:t>
      </w:r>
      <w:r w:rsidR="00BE7C91">
        <w:rPr>
          <w:rFonts w:cs="Times New Roman"/>
          <w:sz w:val="24"/>
          <w:szCs w:val="24"/>
          <w:lang w:val="en-US"/>
        </w:rPr>
        <w:t>SFI</w:t>
      </w:r>
      <w:r w:rsidR="00AA174D">
        <w:rPr>
          <w:rFonts w:cs="Times New Roman"/>
          <w:sz w:val="24"/>
          <w:szCs w:val="24"/>
          <w:lang w:val="en-US"/>
        </w:rPr>
        <w:t xml:space="preserve"> </w:t>
      </w:r>
      <w:r w:rsidR="006B4FF9">
        <w:rPr>
          <w:rFonts w:cs="Times New Roman"/>
          <w:sz w:val="24"/>
          <w:szCs w:val="24"/>
          <w:lang w:val="en-US"/>
        </w:rPr>
        <w:t xml:space="preserve">likely </w:t>
      </w:r>
      <w:r w:rsidR="00AA174D">
        <w:rPr>
          <w:rFonts w:cs="Times New Roman"/>
          <w:sz w:val="24"/>
          <w:szCs w:val="24"/>
          <w:lang w:val="en-US"/>
        </w:rPr>
        <w:t>would obscure many if not most bait pellets</w:t>
      </w:r>
      <w:r w:rsidR="00B07ECD">
        <w:rPr>
          <w:rFonts w:cs="Times New Roman"/>
          <w:sz w:val="24"/>
          <w:szCs w:val="24"/>
          <w:lang w:val="en-US"/>
        </w:rPr>
        <w:t>,</w:t>
      </w:r>
      <w:r w:rsidR="00AA174D">
        <w:rPr>
          <w:rFonts w:cs="Times New Roman"/>
          <w:sz w:val="24"/>
          <w:szCs w:val="24"/>
          <w:lang w:val="en-US"/>
        </w:rPr>
        <w:t xml:space="preserve"> which would further limit rodenticide exposure for gulls. I</w:t>
      </w:r>
      <w:r w:rsidRPr="0099279C">
        <w:rPr>
          <w:rFonts w:cs="Times New Roman"/>
          <w:sz w:val="24"/>
          <w:szCs w:val="24"/>
          <w:lang w:val="en-US"/>
        </w:rPr>
        <w:t xml:space="preserve">n our analyses, we </w:t>
      </w:r>
      <w:r w:rsidR="00BE1A15">
        <w:rPr>
          <w:rFonts w:cs="Times New Roman"/>
          <w:sz w:val="24"/>
          <w:szCs w:val="24"/>
          <w:lang w:val="en-US"/>
        </w:rPr>
        <w:t>used the average</w:t>
      </w:r>
      <w:r w:rsidRPr="0099279C">
        <w:rPr>
          <w:rFonts w:cs="Times New Roman"/>
          <w:sz w:val="24"/>
          <w:szCs w:val="24"/>
          <w:lang w:val="en-US"/>
        </w:rPr>
        <w:t xml:space="preserve"> </w:t>
      </w:r>
      <w:r w:rsidR="00BE1A15" w:rsidRPr="0099279C">
        <w:rPr>
          <w:rFonts w:cs="Times New Roman"/>
          <w:sz w:val="24"/>
          <w:szCs w:val="24"/>
          <w:lang w:val="en-US"/>
        </w:rPr>
        <w:t>value</w:t>
      </w:r>
      <w:r w:rsidR="00BE1A15">
        <w:rPr>
          <w:rFonts w:cs="Times New Roman"/>
          <w:sz w:val="24"/>
          <w:szCs w:val="24"/>
          <w:lang w:val="en-US"/>
        </w:rPr>
        <w:t xml:space="preserve"> of </w:t>
      </w:r>
      <w:r w:rsidR="00DD260C">
        <w:rPr>
          <w:rFonts w:cs="Times New Roman"/>
          <w:sz w:val="24"/>
          <w:szCs w:val="24"/>
          <w:lang w:val="en-US"/>
        </w:rPr>
        <w:t xml:space="preserve">the 2-7 day range observed on </w:t>
      </w:r>
      <w:r w:rsidR="00BE7C91">
        <w:rPr>
          <w:rFonts w:cs="Times New Roman"/>
          <w:sz w:val="24"/>
          <w:szCs w:val="24"/>
          <w:lang w:val="en-US"/>
        </w:rPr>
        <w:t>SFI</w:t>
      </w:r>
      <w:r w:rsidR="00DD260C">
        <w:rPr>
          <w:rFonts w:cs="Times New Roman"/>
          <w:sz w:val="24"/>
          <w:szCs w:val="24"/>
          <w:lang w:val="en-US"/>
        </w:rPr>
        <w:t xml:space="preserve"> (i.e., </w:t>
      </w:r>
      <w:r w:rsidR="00BE1A15">
        <w:rPr>
          <w:rFonts w:cs="Times New Roman"/>
          <w:sz w:val="24"/>
          <w:szCs w:val="24"/>
          <w:lang w:val="en-US"/>
        </w:rPr>
        <w:t>4.5 days</w:t>
      </w:r>
      <w:r w:rsidR="00DD260C">
        <w:rPr>
          <w:rFonts w:cs="Times New Roman"/>
          <w:sz w:val="24"/>
          <w:szCs w:val="24"/>
          <w:lang w:val="en-US"/>
        </w:rPr>
        <w:t>)</w:t>
      </w:r>
      <w:r w:rsidR="00BE1A15" w:rsidRPr="0099279C">
        <w:rPr>
          <w:rFonts w:cs="Times New Roman"/>
          <w:sz w:val="24"/>
          <w:szCs w:val="24"/>
          <w:lang w:val="en-US"/>
        </w:rPr>
        <w:t xml:space="preserve"> </w:t>
      </w:r>
      <w:r w:rsidRPr="0099279C">
        <w:rPr>
          <w:rFonts w:cs="Times New Roman"/>
          <w:sz w:val="24"/>
          <w:szCs w:val="24"/>
          <w:lang w:val="en-US"/>
        </w:rPr>
        <w:t>for time to removal of pellets following a significant rainfall event.</w:t>
      </w:r>
    </w:p>
    <w:p w:rsidR="00DA4040" w:rsidRPr="0099279C" w:rsidRDefault="00DA4040" w:rsidP="00101022">
      <w:pPr>
        <w:pStyle w:val="Heading3"/>
      </w:pPr>
      <w:bookmarkStart w:id="22" w:name="_Toc343007924"/>
      <w:r w:rsidRPr="0099279C">
        <w:t xml:space="preserve">Number, Sex and Life Stage of Western Gulls on </w:t>
      </w:r>
      <w:r w:rsidR="00BE7C91">
        <w:t>SFI</w:t>
      </w:r>
      <w:bookmarkEnd w:id="22"/>
    </w:p>
    <w:p w:rsidR="003D2A21" w:rsidRPr="0099279C" w:rsidRDefault="009F7281" w:rsidP="00A141C0">
      <w:pPr>
        <w:rPr>
          <w:rFonts w:cs="Times New Roman"/>
          <w:sz w:val="24"/>
          <w:szCs w:val="24"/>
          <w:lang w:val="en-US"/>
        </w:rPr>
      </w:pPr>
      <w:r w:rsidRPr="0099279C">
        <w:rPr>
          <w:rFonts w:cs="Times New Roman"/>
          <w:sz w:val="24"/>
          <w:szCs w:val="24"/>
          <w:lang w:val="en-US"/>
        </w:rPr>
        <w:t xml:space="preserve">The western gull has a total </w:t>
      </w:r>
      <w:r w:rsidR="00306970" w:rsidRPr="0099279C">
        <w:rPr>
          <w:rFonts w:cs="Times New Roman"/>
          <w:sz w:val="24"/>
          <w:szCs w:val="24"/>
          <w:lang w:val="en-US"/>
        </w:rPr>
        <w:t xml:space="preserve">worldwide </w:t>
      </w:r>
      <w:r w:rsidR="0037680E">
        <w:rPr>
          <w:rFonts w:cs="Times New Roman"/>
          <w:sz w:val="24"/>
          <w:szCs w:val="24"/>
          <w:lang w:val="en-US"/>
        </w:rPr>
        <w:t xml:space="preserve">breeding </w:t>
      </w:r>
      <w:r w:rsidRPr="0099279C">
        <w:rPr>
          <w:rFonts w:cs="Times New Roman"/>
          <w:sz w:val="24"/>
          <w:szCs w:val="24"/>
          <w:lang w:val="en-US"/>
        </w:rPr>
        <w:t xml:space="preserve">population of approximately 40,000 pairs of which more than 30% </w:t>
      </w:r>
      <w:r w:rsidR="00D1377D">
        <w:rPr>
          <w:rFonts w:cs="Times New Roman"/>
          <w:sz w:val="24"/>
          <w:szCs w:val="24"/>
          <w:lang w:val="en-US"/>
        </w:rPr>
        <w:t>occur</w:t>
      </w:r>
      <w:r w:rsidRPr="0099279C">
        <w:rPr>
          <w:rFonts w:cs="Times New Roman"/>
          <w:sz w:val="24"/>
          <w:szCs w:val="24"/>
          <w:lang w:val="en-US"/>
        </w:rPr>
        <w:t xml:space="preserve"> on </w:t>
      </w:r>
      <w:r w:rsidR="00BE7C91">
        <w:rPr>
          <w:rFonts w:cs="Times New Roman"/>
          <w:sz w:val="24"/>
          <w:szCs w:val="24"/>
          <w:lang w:val="en-US"/>
        </w:rPr>
        <w:t>SFI</w:t>
      </w:r>
      <w:r w:rsidRPr="0099279C">
        <w:rPr>
          <w:rFonts w:cs="Times New Roman"/>
          <w:sz w:val="24"/>
          <w:szCs w:val="24"/>
          <w:lang w:val="en-US"/>
        </w:rPr>
        <w:t xml:space="preserve"> (Penniman et al., 1990; Pierotti and Annett, 1995). </w:t>
      </w:r>
      <w:r w:rsidR="00A141C0" w:rsidRPr="0099279C">
        <w:rPr>
          <w:rFonts w:cs="Times New Roman"/>
          <w:sz w:val="24"/>
          <w:szCs w:val="24"/>
          <w:lang w:val="en-US"/>
        </w:rPr>
        <w:t>Ainley and Lewis (197</w:t>
      </w:r>
      <w:r w:rsidR="00F21D2B" w:rsidRPr="0099279C">
        <w:rPr>
          <w:rFonts w:cs="Times New Roman"/>
          <w:sz w:val="24"/>
          <w:szCs w:val="24"/>
          <w:lang w:val="en-US"/>
        </w:rPr>
        <w:t>4</w:t>
      </w:r>
      <w:r w:rsidR="00A141C0" w:rsidRPr="0099279C">
        <w:rPr>
          <w:rFonts w:cs="Times New Roman"/>
          <w:sz w:val="24"/>
          <w:szCs w:val="24"/>
          <w:lang w:val="en-US"/>
        </w:rPr>
        <w:t xml:space="preserve">) similarly estimated that there are 25,000 individuals present on </w:t>
      </w:r>
      <w:r w:rsidR="00BE7C91">
        <w:rPr>
          <w:rFonts w:cs="Times New Roman"/>
          <w:sz w:val="24"/>
          <w:szCs w:val="24"/>
          <w:lang w:val="en-US"/>
        </w:rPr>
        <w:t>SFI</w:t>
      </w:r>
      <w:r w:rsidR="00A141C0" w:rsidRPr="0099279C">
        <w:rPr>
          <w:rFonts w:cs="Times New Roman"/>
          <w:sz w:val="24"/>
          <w:szCs w:val="24"/>
          <w:lang w:val="en-US"/>
        </w:rPr>
        <w:t xml:space="preserve">, of which about 20,000-22,000 of these birds </w:t>
      </w:r>
      <w:r w:rsidR="00306970" w:rsidRPr="0099279C">
        <w:rPr>
          <w:rFonts w:cs="Times New Roman"/>
          <w:sz w:val="24"/>
          <w:szCs w:val="24"/>
          <w:lang w:val="en-US"/>
        </w:rPr>
        <w:t>a</w:t>
      </w:r>
      <w:r w:rsidR="00A141C0" w:rsidRPr="0099279C">
        <w:rPr>
          <w:rFonts w:cs="Times New Roman"/>
          <w:sz w:val="24"/>
          <w:szCs w:val="24"/>
          <w:lang w:val="en-US"/>
        </w:rPr>
        <w:t>re breeders. The remain</w:t>
      </w:r>
      <w:r w:rsidR="003D2A21" w:rsidRPr="0099279C">
        <w:rPr>
          <w:rFonts w:cs="Times New Roman"/>
          <w:sz w:val="24"/>
          <w:szCs w:val="24"/>
          <w:lang w:val="en-US"/>
        </w:rPr>
        <w:t>ing gulls</w:t>
      </w:r>
      <w:r w:rsidR="00A141C0" w:rsidRPr="0099279C">
        <w:rPr>
          <w:rFonts w:cs="Times New Roman"/>
          <w:sz w:val="24"/>
          <w:szCs w:val="24"/>
          <w:lang w:val="en-US"/>
        </w:rPr>
        <w:t xml:space="preserve"> </w:t>
      </w:r>
      <w:r w:rsidR="00306970" w:rsidRPr="0099279C">
        <w:rPr>
          <w:rFonts w:cs="Times New Roman"/>
          <w:sz w:val="24"/>
          <w:szCs w:val="24"/>
          <w:lang w:val="en-US"/>
        </w:rPr>
        <w:t>a</w:t>
      </w:r>
      <w:r w:rsidR="00A141C0" w:rsidRPr="0099279C">
        <w:rPr>
          <w:rFonts w:cs="Times New Roman"/>
          <w:sz w:val="24"/>
          <w:szCs w:val="24"/>
          <w:lang w:val="en-US"/>
        </w:rPr>
        <w:t xml:space="preserve">re </w:t>
      </w:r>
      <w:r w:rsidR="003D2A21" w:rsidRPr="0099279C">
        <w:rPr>
          <w:rFonts w:cs="Times New Roman"/>
          <w:sz w:val="24"/>
          <w:szCs w:val="24"/>
          <w:lang w:val="en-US"/>
        </w:rPr>
        <w:t xml:space="preserve">excess </w:t>
      </w:r>
      <w:r w:rsidR="00A141C0" w:rsidRPr="0099279C">
        <w:rPr>
          <w:rFonts w:cs="Times New Roman"/>
          <w:sz w:val="24"/>
          <w:szCs w:val="24"/>
          <w:lang w:val="en-US"/>
        </w:rPr>
        <w:t xml:space="preserve">adults because of a lack of nesting areas. Numbers </w:t>
      </w:r>
      <w:r w:rsidR="00306970" w:rsidRPr="0099279C">
        <w:rPr>
          <w:rFonts w:cs="Times New Roman"/>
          <w:sz w:val="24"/>
          <w:szCs w:val="24"/>
          <w:lang w:val="en-US"/>
        </w:rPr>
        <w:t>a</w:t>
      </w:r>
      <w:r w:rsidR="00A141C0" w:rsidRPr="0099279C">
        <w:rPr>
          <w:rFonts w:cs="Times New Roman"/>
          <w:sz w:val="24"/>
          <w:szCs w:val="24"/>
          <w:lang w:val="en-US"/>
        </w:rPr>
        <w:t xml:space="preserve">re lowest, perhaps a few thousand birds, during early fall. </w:t>
      </w:r>
      <w:r w:rsidR="003D2A21" w:rsidRPr="0099279C">
        <w:rPr>
          <w:rFonts w:cs="Times New Roman"/>
          <w:sz w:val="24"/>
          <w:szCs w:val="24"/>
          <w:lang w:val="en-US"/>
        </w:rPr>
        <w:t>The numbers in</w:t>
      </w:r>
      <w:r w:rsidR="00A141C0" w:rsidRPr="0099279C">
        <w:rPr>
          <w:rFonts w:cs="Times New Roman"/>
          <w:sz w:val="24"/>
          <w:szCs w:val="24"/>
          <w:lang w:val="en-US"/>
        </w:rPr>
        <w:t xml:space="preserve">crease during November and reach </w:t>
      </w:r>
      <w:r w:rsidR="003D2A21" w:rsidRPr="0099279C">
        <w:rPr>
          <w:rFonts w:cs="Times New Roman"/>
          <w:sz w:val="24"/>
          <w:szCs w:val="24"/>
          <w:lang w:val="en-US"/>
        </w:rPr>
        <w:t>peak</w:t>
      </w:r>
      <w:r w:rsidR="00A141C0" w:rsidRPr="0099279C">
        <w:rPr>
          <w:rFonts w:cs="Times New Roman"/>
          <w:sz w:val="24"/>
          <w:szCs w:val="24"/>
          <w:lang w:val="en-US"/>
        </w:rPr>
        <w:t xml:space="preserve"> numbers </w:t>
      </w:r>
      <w:r w:rsidR="00D1377D">
        <w:rPr>
          <w:rFonts w:cs="Times New Roman"/>
          <w:sz w:val="24"/>
          <w:szCs w:val="24"/>
          <w:lang w:val="en-US"/>
        </w:rPr>
        <w:t>in the</w:t>
      </w:r>
      <w:r w:rsidR="00A141C0" w:rsidRPr="0099279C">
        <w:rPr>
          <w:rFonts w:cs="Times New Roman"/>
          <w:sz w:val="24"/>
          <w:szCs w:val="24"/>
          <w:lang w:val="en-US"/>
        </w:rPr>
        <w:t xml:space="preserve"> spring (Ainley </w:t>
      </w:r>
      <w:r w:rsidR="00F21D2B" w:rsidRPr="0099279C">
        <w:rPr>
          <w:rFonts w:cs="Times New Roman"/>
          <w:sz w:val="24"/>
          <w:szCs w:val="24"/>
          <w:lang w:val="en-US"/>
        </w:rPr>
        <w:t>and Lewis</w:t>
      </w:r>
      <w:r w:rsidR="00A141C0" w:rsidRPr="0099279C">
        <w:rPr>
          <w:rFonts w:cs="Times New Roman"/>
          <w:sz w:val="24"/>
          <w:szCs w:val="24"/>
          <w:lang w:val="en-US"/>
        </w:rPr>
        <w:t>, 1974).</w:t>
      </w:r>
      <w:r w:rsidR="003D2A21" w:rsidRPr="0099279C">
        <w:rPr>
          <w:rFonts w:cs="Times New Roman"/>
          <w:sz w:val="24"/>
          <w:szCs w:val="24"/>
          <w:lang w:val="en-US"/>
        </w:rPr>
        <w:t xml:space="preserve"> </w:t>
      </w:r>
    </w:p>
    <w:p w:rsidR="00DA4040" w:rsidRPr="0099279C" w:rsidRDefault="003D2A21" w:rsidP="00A141C0">
      <w:pPr>
        <w:rPr>
          <w:rFonts w:cs="Times New Roman"/>
          <w:sz w:val="24"/>
          <w:szCs w:val="24"/>
          <w:lang w:val="en-US"/>
        </w:rPr>
      </w:pPr>
      <w:r w:rsidRPr="0099279C">
        <w:rPr>
          <w:rFonts w:cs="Times New Roman"/>
          <w:sz w:val="24"/>
          <w:szCs w:val="24"/>
          <w:lang w:val="en-US"/>
        </w:rPr>
        <w:t xml:space="preserve">The number of western gulls on </w:t>
      </w:r>
      <w:r w:rsidR="00BE7C91">
        <w:rPr>
          <w:rFonts w:cs="Times New Roman"/>
          <w:sz w:val="24"/>
          <w:szCs w:val="24"/>
          <w:lang w:val="en-US"/>
        </w:rPr>
        <w:t>SFI</w:t>
      </w:r>
      <w:r w:rsidRPr="0099279C">
        <w:rPr>
          <w:rFonts w:cs="Times New Roman"/>
          <w:sz w:val="24"/>
          <w:szCs w:val="24"/>
          <w:lang w:val="en-US"/>
        </w:rPr>
        <w:t xml:space="preserve"> is variable, both seasonally and between years. </w:t>
      </w:r>
      <w:r w:rsidR="00D1377D">
        <w:rPr>
          <w:rFonts w:cs="Times New Roman"/>
          <w:sz w:val="24"/>
          <w:szCs w:val="24"/>
          <w:lang w:val="en-US"/>
        </w:rPr>
        <w:t>Ob</w:t>
      </w:r>
      <w:r w:rsidRPr="0099279C">
        <w:rPr>
          <w:rFonts w:cs="Times New Roman"/>
          <w:sz w:val="24"/>
          <w:szCs w:val="24"/>
          <w:lang w:val="en-US"/>
        </w:rPr>
        <w:t xml:space="preserve">servational data collected in November </w:t>
      </w:r>
      <w:r w:rsidR="00D1377D">
        <w:rPr>
          <w:rFonts w:cs="Times New Roman"/>
          <w:sz w:val="24"/>
          <w:szCs w:val="24"/>
          <w:lang w:val="en-US"/>
        </w:rPr>
        <w:t>to March</w:t>
      </w:r>
      <w:r w:rsidRPr="0099279C">
        <w:rPr>
          <w:rFonts w:cs="Times New Roman"/>
          <w:sz w:val="24"/>
          <w:szCs w:val="24"/>
          <w:lang w:val="en-US"/>
        </w:rPr>
        <w:t xml:space="preserve"> 2010</w:t>
      </w:r>
      <w:r w:rsidR="00D1377D">
        <w:rPr>
          <w:rFonts w:cs="Times New Roman"/>
          <w:sz w:val="24"/>
          <w:szCs w:val="24"/>
          <w:lang w:val="en-US"/>
        </w:rPr>
        <w:t>-11 and 2011-12</w:t>
      </w:r>
      <w:r w:rsidRPr="0099279C">
        <w:rPr>
          <w:rFonts w:cs="Times New Roman"/>
          <w:sz w:val="24"/>
          <w:szCs w:val="24"/>
          <w:lang w:val="en-US"/>
        </w:rPr>
        <w:t xml:space="preserve"> </w:t>
      </w:r>
      <w:r w:rsidR="00306970" w:rsidRPr="0099279C">
        <w:rPr>
          <w:rFonts w:cs="Times New Roman"/>
          <w:sz w:val="24"/>
          <w:szCs w:val="24"/>
          <w:lang w:val="en-US"/>
        </w:rPr>
        <w:t xml:space="preserve">were </w:t>
      </w:r>
      <w:r w:rsidR="00D1377D">
        <w:rPr>
          <w:rFonts w:cs="Times New Roman"/>
          <w:sz w:val="24"/>
          <w:szCs w:val="24"/>
          <w:lang w:val="en-US"/>
        </w:rPr>
        <w:t>used to estimate number</w:t>
      </w:r>
      <w:r w:rsidR="0037680E">
        <w:rPr>
          <w:rFonts w:cs="Times New Roman"/>
          <w:sz w:val="24"/>
          <w:szCs w:val="24"/>
          <w:lang w:val="en-US"/>
        </w:rPr>
        <w:t>s</w:t>
      </w:r>
      <w:r w:rsidR="00D1377D">
        <w:rPr>
          <w:rFonts w:cs="Times New Roman"/>
          <w:sz w:val="24"/>
          <w:szCs w:val="24"/>
          <w:lang w:val="en-US"/>
        </w:rPr>
        <w:t xml:space="preserve"> of western gulls on </w:t>
      </w:r>
      <w:r w:rsidR="00BE7C91">
        <w:rPr>
          <w:rFonts w:cs="Times New Roman"/>
          <w:sz w:val="24"/>
          <w:szCs w:val="24"/>
          <w:lang w:val="en-US"/>
        </w:rPr>
        <w:t>SFI</w:t>
      </w:r>
      <w:r w:rsidR="00D1377D">
        <w:rPr>
          <w:rFonts w:cs="Times New Roman"/>
          <w:sz w:val="24"/>
          <w:szCs w:val="24"/>
          <w:lang w:val="en-US"/>
        </w:rPr>
        <w:t xml:space="preserve"> on a weekly basis (Table 3-2)</w:t>
      </w:r>
      <w:r w:rsidRPr="0099279C">
        <w:rPr>
          <w:rFonts w:cs="Times New Roman"/>
          <w:sz w:val="24"/>
          <w:szCs w:val="24"/>
          <w:lang w:val="en-US"/>
        </w:rPr>
        <w:t xml:space="preserve">. </w:t>
      </w:r>
      <w:r w:rsidR="00D1377D">
        <w:rPr>
          <w:rFonts w:cs="Times New Roman"/>
          <w:sz w:val="24"/>
          <w:szCs w:val="24"/>
          <w:lang w:val="en-US"/>
        </w:rPr>
        <w:t xml:space="preserve">For the western gull model, the two years of data were combined and approximate values generated for each </w:t>
      </w:r>
      <w:r w:rsidR="0082340F">
        <w:rPr>
          <w:rFonts w:cs="Times New Roman"/>
          <w:sz w:val="24"/>
          <w:szCs w:val="24"/>
          <w:lang w:val="en-US"/>
        </w:rPr>
        <w:t xml:space="preserve">two </w:t>
      </w:r>
      <w:r w:rsidR="00567CF0">
        <w:rPr>
          <w:rFonts w:cs="Times New Roman"/>
          <w:sz w:val="24"/>
          <w:szCs w:val="24"/>
          <w:lang w:val="en-US"/>
        </w:rPr>
        <w:t xml:space="preserve">week </w:t>
      </w:r>
      <w:r w:rsidR="0082340F">
        <w:rPr>
          <w:rFonts w:cs="Times New Roman"/>
          <w:sz w:val="24"/>
          <w:szCs w:val="24"/>
          <w:lang w:val="en-US"/>
        </w:rPr>
        <w:t>period</w:t>
      </w:r>
      <w:r w:rsidR="00D1377D">
        <w:rPr>
          <w:rFonts w:cs="Times New Roman"/>
          <w:sz w:val="24"/>
          <w:szCs w:val="24"/>
          <w:lang w:val="en-US"/>
        </w:rPr>
        <w:t xml:space="preserve"> from November to March. </w:t>
      </w:r>
      <w:r w:rsidR="0082340F">
        <w:rPr>
          <w:rFonts w:cs="Times New Roman"/>
          <w:sz w:val="24"/>
          <w:szCs w:val="24"/>
          <w:lang w:val="en-US"/>
        </w:rPr>
        <w:t xml:space="preserve">These data were used to determine probabilities of a given bird being present </w:t>
      </w:r>
      <w:r w:rsidR="00B60192">
        <w:rPr>
          <w:rFonts w:cs="Times New Roman"/>
          <w:sz w:val="24"/>
          <w:szCs w:val="24"/>
          <w:lang w:val="en-US"/>
        </w:rPr>
        <w:t>(i.e., Model Assigned Value</w:t>
      </w:r>
      <w:r w:rsidR="00567CF0">
        <w:rPr>
          <w:rFonts w:cs="Times New Roman"/>
          <w:sz w:val="24"/>
          <w:szCs w:val="24"/>
          <w:lang w:val="en-US"/>
        </w:rPr>
        <w:t xml:space="preserve"> in Table 3-2</w:t>
      </w:r>
      <w:r w:rsidR="00B60192">
        <w:rPr>
          <w:rFonts w:cs="Times New Roman"/>
          <w:sz w:val="24"/>
          <w:szCs w:val="24"/>
          <w:lang w:val="en-US"/>
        </w:rPr>
        <w:t xml:space="preserve">/Maximum Possible Value of 11,000 birds) </w:t>
      </w:r>
      <w:r w:rsidR="0082340F">
        <w:rPr>
          <w:rFonts w:cs="Times New Roman"/>
          <w:sz w:val="24"/>
          <w:szCs w:val="24"/>
          <w:lang w:val="en-US"/>
        </w:rPr>
        <w:t xml:space="preserve">for each week through November to March </w:t>
      </w:r>
      <w:r w:rsidR="00B60192">
        <w:rPr>
          <w:rFonts w:cs="Times New Roman"/>
          <w:sz w:val="24"/>
          <w:szCs w:val="24"/>
          <w:lang w:val="en-US"/>
        </w:rPr>
        <w:t>assuming</w:t>
      </w:r>
      <w:r w:rsidR="0082340F">
        <w:rPr>
          <w:rFonts w:cs="Times New Roman"/>
          <w:sz w:val="24"/>
          <w:szCs w:val="24"/>
          <w:lang w:val="en-US"/>
        </w:rPr>
        <w:t xml:space="preserve"> that once a bird appears on </w:t>
      </w:r>
      <w:r w:rsidR="00BE7C91">
        <w:rPr>
          <w:rFonts w:cs="Times New Roman"/>
          <w:sz w:val="24"/>
          <w:szCs w:val="24"/>
          <w:lang w:val="en-US"/>
        </w:rPr>
        <w:t>SFI</w:t>
      </w:r>
      <w:r w:rsidR="00AF2882">
        <w:rPr>
          <w:rFonts w:cs="Times New Roman"/>
          <w:sz w:val="24"/>
          <w:szCs w:val="24"/>
          <w:lang w:val="en-US"/>
        </w:rPr>
        <w:t xml:space="preserve"> in November or December</w:t>
      </w:r>
      <w:r w:rsidR="0082340F">
        <w:rPr>
          <w:rFonts w:cs="Times New Roman"/>
          <w:sz w:val="24"/>
          <w:szCs w:val="24"/>
          <w:lang w:val="en-US"/>
        </w:rPr>
        <w:t xml:space="preserve">, it </w:t>
      </w:r>
      <w:r w:rsidR="0037680E">
        <w:rPr>
          <w:rFonts w:cs="Times New Roman"/>
          <w:sz w:val="24"/>
          <w:szCs w:val="24"/>
          <w:lang w:val="en-US"/>
        </w:rPr>
        <w:t xml:space="preserve">does not </w:t>
      </w:r>
      <w:r w:rsidR="0082340F">
        <w:rPr>
          <w:rFonts w:cs="Times New Roman"/>
          <w:sz w:val="24"/>
          <w:szCs w:val="24"/>
          <w:lang w:val="en-US"/>
        </w:rPr>
        <w:t>leave until mid</w:t>
      </w:r>
      <w:r w:rsidR="0037680E">
        <w:rPr>
          <w:rFonts w:cs="Times New Roman"/>
          <w:sz w:val="24"/>
          <w:szCs w:val="24"/>
          <w:lang w:val="en-US"/>
        </w:rPr>
        <w:t>-</w:t>
      </w:r>
      <w:r w:rsidR="0082340F">
        <w:rPr>
          <w:rFonts w:cs="Times New Roman"/>
          <w:sz w:val="24"/>
          <w:szCs w:val="24"/>
          <w:lang w:val="en-US"/>
        </w:rPr>
        <w:t xml:space="preserve">February at the earliest. </w:t>
      </w:r>
      <w:r w:rsidR="00AF2882">
        <w:rPr>
          <w:rFonts w:cs="Times New Roman"/>
          <w:sz w:val="24"/>
          <w:szCs w:val="24"/>
          <w:lang w:val="en-US"/>
        </w:rPr>
        <w:t xml:space="preserve">A bird can be present but not foraging on </w:t>
      </w:r>
      <w:r w:rsidR="00BE7C91">
        <w:rPr>
          <w:rFonts w:cs="Times New Roman"/>
          <w:sz w:val="24"/>
          <w:szCs w:val="24"/>
          <w:lang w:val="en-US"/>
        </w:rPr>
        <w:t>SFI</w:t>
      </w:r>
      <w:r w:rsidR="00AF2882">
        <w:rPr>
          <w:rFonts w:cs="Times New Roman"/>
          <w:sz w:val="24"/>
          <w:szCs w:val="24"/>
          <w:lang w:val="en-US"/>
        </w:rPr>
        <w:t xml:space="preserve">, as would be the case with birds that are successfully hazed </w:t>
      </w:r>
      <w:r w:rsidR="00B60192">
        <w:rPr>
          <w:rFonts w:cs="Times New Roman"/>
          <w:sz w:val="24"/>
          <w:szCs w:val="24"/>
          <w:lang w:val="en-US"/>
        </w:rPr>
        <w:t>each day</w:t>
      </w:r>
      <w:r w:rsidR="00AF2882">
        <w:rPr>
          <w:rFonts w:cs="Times New Roman"/>
          <w:sz w:val="24"/>
          <w:szCs w:val="24"/>
          <w:lang w:val="en-US"/>
        </w:rPr>
        <w:t xml:space="preserve">. </w:t>
      </w:r>
      <w:r w:rsidR="00D1377D">
        <w:rPr>
          <w:rFonts w:cs="Times New Roman"/>
          <w:sz w:val="24"/>
          <w:szCs w:val="24"/>
          <w:lang w:val="en-US"/>
        </w:rPr>
        <w:t>The general pattern indicates that the probability of a given bird being present in early November is relatively low and then increases to a probability of 1 by mid</w:t>
      </w:r>
      <w:r w:rsidR="0037680E">
        <w:rPr>
          <w:rFonts w:cs="Times New Roman"/>
          <w:sz w:val="24"/>
          <w:szCs w:val="24"/>
          <w:lang w:val="en-US"/>
        </w:rPr>
        <w:t>-</w:t>
      </w:r>
      <w:r w:rsidR="00D1377D">
        <w:rPr>
          <w:rFonts w:cs="Times New Roman"/>
          <w:sz w:val="24"/>
          <w:szCs w:val="24"/>
          <w:lang w:val="en-US"/>
        </w:rPr>
        <w:t>December</w:t>
      </w:r>
      <w:r w:rsidR="00AF2882">
        <w:rPr>
          <w:rFonts w:cs="Times New Roman"/>
          <w:sz w:val="24"/>
          <w:szCs w:val="24"/>
          <w:lang w:val="en-US"/>
        </w:rPr>
        <w:t xml:space="preserve"> (Table 3-3)</w:t>
      </w:r>
      <w:r w:rsidR="00D1377D">
        <w:rPr>
          <w:rFonts w:cs="Times New Roman"/>
          <w:sz w:val="24"/>
          <w:szCs w:val="24"/>
          <w:lang w:val="en-US"/>
        </w:rPr>
        <w:t xml:space="preserve">. The probability of the bird being present on </w:t>
      </w:r>
      <w:r w:rsidR="00BE7C91">
        <w:rPr>
          <w:rFonts w:cs="Times New Roman"/>
          <w:sz w:val="24"/>
          <w:szCs w:val="24"/>
          <w:lang w:val="en-US"/>
        </w:rPr>
        <w:t>SFI</w:t>
      </w:r>
      <w:r w:rsidR="00D1377D">
        <w:rPr>
          <w:rFonts w:cs="Times New Roman"/>
          <w:sz w:val="24"/>
          <w:szCs w:val="24"/>
          <w:lang w:val="en-US"/>
        </w:rPr>
        <w:t xml:space="preserve"> begins to decline in mid</w:t>
      </w:r>
      <w:r w:rsidR="0037680E">
        <w:rPr>
          <w:rFonts w:cs="Times New Roman"/>
          <w:sz w:val="24"/>
          <w:szCs w:val="24"/>
          <w:lang w:val="en-US"/>
        </w:rPr>
        <w:t>-</w:t>
      </w:r>
      <w:r w:rsidR="00D1377D">
        <w:rPr>
          <w:rFonts w:cs="Times New Roman"/>
          <w:sz w:val="24"/>
          <w:szCs w:val="24"/>
          <w:lang w:val="en-US"/>
        </w:rPr>
        <w:t>February</w:t>
      </w:r>
      <w:r w:rsidR="00AF2882">
        <w:rPr>
          <w:rFonts w:cs="Times New Roman"/>
          <w:sz w:val="24"/>
          <w:szCs w:val="24"/>
          <w:lang w:val="en-US"/>
        </w:rPr>
        <w:t xml:space="preserve"> (Table 3-3)</w:t>
      </w:r>
      <w:r w:rsidR="00D1377D">
        <w:rPr>
          <w:rFonts w:cs="Times New Roman"/>
          <w:sz w:val="24"/>
          <w:szCs w:val="24"/>
          <w:lang w:val="en-US"/>
        </w:rPr>
        <w:t>.</w:t>
      </w:r>
    </w:p>
    <w:tbl>
      <w:tblPr>
        <w:tblW w:w="8789" w:type="dxa"/>
        <w:jc w:val="center"/>
        <w:tblLook w:val="04A0" w:firstRow="1" w:lastRow="0" w:firstColumn="1" w:lastColumn="0" w:noHBand="0" w:noVBand="1"/>
      </w:tblPr>
      <w:tblGrid>
        <w:gridCol w:w="993"/>
        <w:gridCol w:w="850"/>
        <w:gridCol w:w="1276"/>
        <w:gridCol w:w="1276"/>
        <w:gridCol w:w="1275"/>
        <w:gridCol w:w="1418"/>
        <w:gridCol w:w="1701"/>
      </w:tblGrid>
      <w:tr w:rsidR="00AF2882" w:rsidRPr="00D1377D" w:rsidTr="00F9048A">
        <w:trPr>
          <w:trHeight w:val="375"/>
          <w:tblHeader/>
          <w:jc w:val="center"/>
        </w:trPr>
        <w:tc>
          <w:tcPr>
            <w:tcW w:w="8789" w:type="dxa"/>
            <w:gridSpan w:val="7"/>
            <w:tcBorders>
              <w:bottom w:val="single" w:sz="4" w:space="0" w:color="auto"/>
            </w:tcBorders>
            <w:shd w:val="clear" w:color="000000" w:fill="auto"/>
            <w:noWrap/>
            <w:vAlign w:val="center"/>
            <w:hideMark/>
          </w:tcPr>
          <w:p w:rsidR="00A673F7" w:rsidRDefault="00FF1884">
            <w:pPr>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3-2. Western gull counts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in 2010-11 and 2011-12.</w:t>
            </w:r>
          </w:p>
        </w:tc>
      </w:tr>
      <w:tr w:rsidR="0082340F" w:rsidRPr="00D1377D" w:rsidTr="00F9048A">
        <w:trPr>
          <w:trHeight w:val="375"/>
          <w:tblHeader/>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Month</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Day</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Mean Gull Count</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Year Mean</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Week Average</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 xml:space="preserve">Model </w:t>
            </w:r>
            <w:r w:rsidR="0082340F">
              <w:rPr>
                <w:rFonts w:eastAsia="Times New Roman" w:cs="Times New Roman"/>
                <w:b/>
                <w:bCs/>
                <w:color w:val="000000"/>
                <w:lang w:eastAsia="en-CA"/>
              </w:rPr>
              <w:t xml:space="preserve">Assigned </w:t>
            </w:r>
            <w:r w:rsidRPr="00FF1884">
              <w:rPr>
                <w:rFonts w:eastAsia="Times New Roman" w:cs="Times New Roman"/>
                <w:b/>
                <w:bCs/>
                <w:color w:val="000000"/>
                <w:lang w:eastAsia="en-CA"/>
              </w:rPr>
              <w:t>Value</w:t>
            </w:r>
          </w:p>
        </w:tc>
      </w:tr>
      <w:tr w:rsidR="0082340F" w:rsidRPr="00D1377D" w:rsidTr="00F9048A">
        <w:trPr>
          <w:trHeight w:val="375"/>
          <w:tblHeader/>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2010-11</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2011-12</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Nov</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2584.75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2317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1206.5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3368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Dec</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2873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5486.67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6948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6716.67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716.25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9716</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7402.43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13410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074.38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034.29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Jan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914.5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14198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114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669.2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671</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8546.67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9753</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448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500.67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9782.86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142</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Feb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8182.857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301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391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070.29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890.5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7405.67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6088</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5441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6818.67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4794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Mar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8787.75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5224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7852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566.17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8698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620.6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12621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344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bl>
    <w:p w:rsidR="00D1377D" w:rsidRPr="00D1377D" w:rsidRDefault="00D1377D" w:rsidP="00A141C0">
      <w:pPr>
        <w:rPr>
          <w:rFonts w:cs="Times New Roman"/>
          <w:sz w:val="20"/>
          <w:szCs w:val="20"/>
          <w:lang w:val="en-US"/>
        </w:rPr>
      </w:pPr>
    </w:p>
    <w:tbl>
      <w:tblPr>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869"/>
        <w:gridCol w:w="869"/>
        <w:gridCol w:w="1037"/>
        <w:gridCol w:w="1037"/>
        <w:gridCol w:w="1037"/>
        <w:gridCol w:w="832"/>
        <w:gridCol w:w="1000"/>
        <w:gridCol w:w="1000"/>
      </w:tblGrid>
      <w:tr w:rsidR="003B109C" w:rsidRPr="00353A8B" w:rsidTr="006E47C1">
        <w:trPr>
          <w:trHeight w:val="300"/>
          <w:tblHeader/>
          <w:jc w:val="center"/>
        </w:trPr>
        <w:tc>
          <w:tcPr>
            <w:tcW w:w="8641" w:type="dxa"/>
            <w:gridSpan w:val="9"/>
            <w:tcBorders>
              <w:top w:val="nil"/>
              <w:left w:val="nil"/>
              <w:right w:val="nil"/>
            </w:tcBorders>
            <w:shd w:val="clear" w:color="auto" w:fill="auto"/>
            <w:noWrap/>
            <w:vAlign w:val="center"/>
            <w:hideMark/>
          </w:tcPr>
          <w:p w:rsidR="00A673F7" w:rsidRDefault="00FF1884" w:rsidP="006C1986">
            <w:pPr>
              <w:keepNext/>
              <w:keepLines/>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3-3. Probability of an individual western gull being present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according to initial application date and simulation day.</w:t>
            </w:r>
          </w:p>
        </w:tc>
      </w:tr>
      <w:tr w:rsidR="00353A8B" w:rsidRPr="00353A8B" w:rsidTr="006E47C1">
        <w:trPr>
          <w:trHeight w:val="300"/>
          <w:tblHeader/>
          <w:jc w:val="center"/>
        </w:trPr>
        <w:tc>
          <w:tcPr>
            <w:tcW w:w="960" w:type="dxa"/>
            <w:vMerge w:val="restart"/>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Day</w:t>
            </w:r>
          </w:p>
        </w:tc>
        <w:tc>
          <w:tcPr>
            <w:tcW w:w="7681" w:type="dxa"/>
            <w:gridSpan w:val="8"/>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Initial Application Date</w:t>
            </w:r>
          </w:p>
        </w:tc>
      </w:tr>
      <w:tr w:rsidR="00353A8B" w:rsidRPr="00353A8B" w:rsidTr="006E47C1">
        <w:trPr>
          <w:trHeight w:val="300"/>
          <w:tblHeader/>
          <w:jc w:val="center"/>
        </w:trPr>
        <w:tc>
          <w:tcPr>
            <w:tcW w:w="960" w:type="dxa"/>
            <w:vMerge/>
            <w:vAlign w:val="center"/>
            <w:hideMark/>
          </w:tcPr>
          <w:p w:rsidR="00353A8B" w:rsidRPr="00353A8B" w:rsidRDefault="00353A8B" w:rsidP="006C1986">
            <w:pPr>
              <w:keepNext/>
              <w:keepLines/>
              <w:spacing w:after="0" w:line="240" w:lineRule="auto"/>
              <w:rPr>
                <w:rFonts w:eastAsia="Times New Roman" w:cs="Times New Roman"/>
                <w:b/>
                <w:bCs/>
                <w:color w:val="000000"/>
                <w:lang w:eastAsia="en-CA"/>
              </w:rPr>
            </w:pP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8</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15</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22</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29</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13</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20</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28</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35</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42</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56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63</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70</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77</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84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bl>
    <w:p w:rsidR="00353A8B" w:rsidRDefault="00353A8B" w:rsidP="00A141C0">
      <w:pPr>
        <w:rPr>
          <w:rFonts w:cs="Times New Roman"/>
          <w:sz w:val="24"/>
          <w:szCs w:val="24"/>
          <w:lang w:val="en-US"/>
        </w:rPr>
      </w:pPr>
    </w:p>
    <w:p w:rsidR="001D2C27" w:rsidRPr="0099279C" w:rsidRDefault="00440CF5" w:rsidP="00A141C0">
      <w:pPr>
        <w:rPr>
          <w:rFonts w:cs="Times New Roman"/>
          <w:sz w:val="24"/>
          <w:szCs w:val="24"/>
          <w:lang w:val="en-US"/>
        </w:rPr>
      </w:pPr>
      <w:r w:rsidRPr="0099279C">
        <w:rPr>
          <w:rFonts w:cs="Times New Roman"/>
          <w:sz w:val="24"/>
          <w:szCs w:val="24"/>
          <w:lang w:val="en-US"/>
        </w:rPr>
        <w:t xml:space="preserve">No information was found on the numbers of females and males present on </w:t>
      </w:r>
      <w:r w:rsidR="00BE7C91">
        <w:rPr>
          <w:rFonts w:cs="Times New Roman"/>
          <w:sz w:val="24"/>
          <w:szCs w:val="24"/>
          <w:lang w:val="en-US"/>
        </w:rPr>
        <w:t>SFI</w:t>
      </w:r>
      <w:r w:rsidRPr="0099279C">
        <w:rPr>
          <w:rFonts w:cs="Times New Roman"/>
          <w:sz w:val="24"/>
          <w:szCs w:val="24"/>
          <w:lang w:val="en-US"/>
        </w:rPr>
        <w:t xml:space="preserve"> in November and December. In the </w:t>
      </w:r>
      <w:r w:rsidR="006D25F7">
        <w:rPr>
          <w:rFonts w:cs="Times New Roman"/>
          <w:sz w:val="24"/>
          <w:szCs w:val="24"/>
          <w:lang w:val="en-US"/>
        </w:rPr>
        <w:t>S</w:t>
      </w:r>
      <w:r w:rsidRPr="0099279C">
        <w:rPr>
          <w:rFonts w:cs="Times New Roman"/>
          <w:sz w:val="24"/>
          <w:szCs w:val="24"/>
          <w:lang w:val="en-US"/>
        </w:rPr>
        <w:t>outh</w:t>
      </w:r>
      <w:r w:rsidR="006D25F7">
        <w:rPr>
          <w:rFonts w:cs="Times New Roman"/>
          <w:sz w:val="24"/>
          <w:szCs w:val="24"/>
          <w:lang w:val="en-US"/>
        </w:rPr>
        <w:t>ern</w:t>
      </w:r>
      <w:r w:rsidRPr="0099279C">
        <w:rPr>
          <w:rFonts w:cs="Times New Roman"/>
          <w:sz w:val="24"/>
          <w:szCs w:val="24"/>
          <w:lang w:val="en-US"/>
        </w:rPr>
        <w:t xml:space="preserve"> California Bight, sex ratios have been near equity since chemical companies stopped disposing waste to the Bight in the 1970s and 1980s (Pierotti and Annett, 1995). On </w:t>
      </w:r>
      <w:r w:rsidR="00BE7C91">
        <w:rPr>
          <w:rFonts w:cs="Times New Roman"/>
          <w:sz w:val="24"/>
          <w:szCs w:val="24"/>
          <w:lang w:val="en-US"/>
        </w:rPr>
        <w:t>SFI</w:t>
      </w:r>
      <w:r w:rsidRPr="0099279C">
        <w:rPr>
          <w:rFonts w:cs="Times New Roman"/>
          <w:sz w:val="24"/>
          <w:szCs w:val="24"/>
          <w:lang w:val="en-US"/>
        </w:rPr>
        <w:t>, the sex ratio may be skewed slightly in favor of females during the breeding season</w:t>
      </w:r>
      <w:r w:rsidR="008402C2" w:rsidRPr="0099279C">
        <w:rPr>
          <w:rFonts w:cs="Times New Roman"/>
          <w:sz w:val="24"/>
          <w:szCs w:val="24"/>
          <w:lang w:val="en-US"/>
        </w:rPr>
        <w:t xml:space="preserve"> (Spear, 1988; Pierotti and Annett, 1995). Given the available information and minor importance of the sex ratio variable we assumed a ratio of males to females on </w:t>
      </w:r>
      <w:r w:rsidR="00BE7C91">
        <w:rPr>
          <w:rFonts w:cs="Times New Roman"/>
          <w:sz w:val="24"/>
          <w:szCs w:val="24"/>
          <w:lang w:val="en-US"/>
        </w:rPr>
        <w:t>SFI</w:t>
      </w:r>
      <w:r w:rsidR="008402C2" w:rsidRPr="0099279C">
        <w:rPr>
          <w:rFonts w:cs="Times New Roman"/>
          <w:sz w:val="24"/>
          <w:szCs w:val="24"/>
          <w:lang w:val="en-US"/>
        </w:rPr>
        <w:t xml:space="preserve"> in November and December</w:t>
      </w:r>
      <w:r w:rsidR="00306970" w:rsidRPr="0099279C">
        <w:rPr>
          <w:rFonts w:cs="Times New Roman"/>
          <w:sz w:val="24"/>
          <w:szCs w:val="24"/>
          <w:lang w:val="en-US"/>
        </w:rPr>
        <w:t xml:space="preserve"> of 50:50</w:t>
      </w:r>
      <w:r w:rsidR="008402C2" w:rsidRPr="0099279C">
        <w:rPr>
          <w:rFonts w:cs="Times New Roman"/>
          <w:sz w:val="24"/>
          <w:szCs w:val="24"/>
          <w:lang w:val="en-US"/>
        </w:rPr>
        <w:t>.</w:t>
      </w:r>
    </w:p>
    <w:p w:rsidR="008402C2" w:rsidRPr="0099279C" w:rsidRDefault="004D370D" w:rsidP="00A141C0">
      <w:pPr>
        <w:rPr>
          <w:rFonts w:cs="Times New Roman"/>
          <w:sz w:val="24"/>
          <w:szCs w:val="24"/>
          <w:lang w:val="en-US"/>
        </w:rPr>
      </w:pPr>
      <w:r>
        <w:rPr>
          <w:rFonts w:cs="Times New Roman"/>
          <w:sz w:val="24"/>
          <w:szCs w:val="24"/>
          <w:lang w:val="en-US"/>
        </w:rPr>
        <w:t>According to Nur et al. (</w:t>
      </w:r>
      <w:r w:rsidR="00A23A4B">
        <w:rPr>
          <w:rFonts w:cs="Times New Roman"/>
          <w:sz w:val="24"/>
          <w:szCs w:val="24"/>
          <w:lang w:val="en-US"/>
        </w:rPr>
        <w:t>2012</w:t>
      </w:r>
      <w:r w:rsidR="006D25F7">
        <w:rPr>
          <w:rFonts w:cs="Times New Roman"/>
          <w:sz w:val="24"/>
          <w:szCs w:val="24"/>
          <w:lang w:val="en-US"/>
        </w:rPr>
        <w:t>.</w:t>
      </w:r>
      <w:r>
        <w:rPr>
          <w:rFonts w:cs="Times New Roman"/>
          <w:sz w:val="24"/>
          <w:szCs w:val="24"/>
          <w:lang w:val="en-US"/>
        </w:rPr>
        <w:t>), t</w:t>
      </w:r>
      <w:r w:rsidRPr="004D370D">
        <w:rPr>
          <w:rFonts w:cs="Times New Roman"/>
          <w:sz w:val="24"/>
          <w:szCs w:val="24"/>
          <w:lang w:val="en-US"/>
        </w:rPr>
        <w:t>he</w:t>
      </w:r>
      <w:r w:rsidR="006D25F7">
        <w:rPr>
          <w:rFonts w:cs="Times New Roman"/>
          <w:sz w:val="24"/>
          <w:szCs w:val="24"/>
          <w:lang w:val="en-US"/>
        </w:rPr>
        <w:t xml:space="preserve"> total </w:t>
      </w:r>
      <w:r w:rsidR="00BE7C91">
        <w:rPr>
          <w:rFonts w:cs="Times New Roman"/>
          <w:sz w:val="24"/>
          <w:szCs w:val="24"/>
          <w:lang w:val="en-US"/>
        </w:rPr>
        <w:t>SFI</w:t>
      </w:r>
      <w:r w:rsidR="006D25F7">
        <w:rPr>
          <w:rFonts w:cs="Times New Roman"/>
          <w:sz w:val="24"/>
          <w:szCs w:val="24"/>
          <w:lang w:val="en-US"/>
        </w:rPr>
        <w:t xml:space="preserve"> population of western gulls </w:t>
      </w:r>
      <w:r w:rsidR="006D25F7" w:rsidRPr="004D370D">
        <w:rPr>
          <w:rFonts w:cs="Times New Roman"/>
          <w:sz w:val="24"/>
          <w:szCs w:val="24"/>
          <w:lang w:val="en-US"/>
        </w:rPr>
        <w:t>of all age classes</w:t>
      </w:r>
      <w:r w:rsidR="006D25F7">
        <w:rPr>
          <w:rFonts w:cs="Times New Roman"/>
          <w:sz w:val="24"/>
          <w:szCs w:val="24"/>
          <w:lang w:val="en-US"/>
        </w:rPr>
        <w:t xml:space="preserve"> </w:t>
      </w:r>
      <w:r w:rsidR="00A23A4B">
        <w:rPr>
          <w:rFonts w:cs="Times New Roman"/>
          <w:sz w:val="24"/>
          <w:szCs w:val="24"/>
          <w:lang w:val="en-US"/>
        </w:rPr>
        <w:t>is</w:t>
      </w:r>
      <w:r w:rsidR="00A23A4B" w:rsidRPr="004D370D">
        <w:rPr>
          <w:rFonts w:cs="Times New Roman"/>
          <w:sz w:val="24"/>
          <w:szCs w:val="24"/>
          <w:lang w:val="en-US"/>
        </w:rPr>
        <w:t xml:space="preserve"> </w:t>
      </w:r>
      <w:r w:rsidR="00A23A4B">
        <w:rPr>
          <w:rFonts w:cs="Times New Roman"/>
          <w:sz w:val="24"/>
          <w:szCs w:val="24"/>
          <w:lang w:val="en-US"/>
        </w:rPr>
        <w:t>about</w:t>
      </w:r>
      <w:r w:rsidR="006D25F7">
        <w:rPr>
          <w:rFonts w:cs="Times New Roman"/>
          <w:sz w:val="24"/>
          <w:szCs w:val="24"/>
          <w:lang w:val="en-US"/>
        </w:rPr>
        <w:t xml:space="preserve"> </w:t>
      </w:r>
      <w:r w:rsidRPr="004D370D">
        <w:rPr>
          <w:rFonts w:cs="Times New Roman"/>
          <w:sz w:val="24"/>
          <w:szCs w:val="24"/>
          <w:lang w:val="en-US"/>
        </w:rPr>
        <w:t xml:space="preserve">32,200 </w:t>
      </w:r>
      <w:r w:rsidR="006D25F7">
        <w:rPr>
          <w:rFonts w:cs="Times New Roman"/>
          <w:sz w:val="24"/>
          <w:szCs w:val="24"/>
          <w:lang w:val="en-US"/>
        </w:rPr>
        <w:t>birds</w:t>
      </w:r>
      <w:r>
        <w:rPr>
          <w:rFonts w:cs="Times New Roman"/>
          <w:sz w:val="24"/>
          <w:szCs w:val="24"/>
          <w:lang w:val="en-US"/>
        </w:rPr>
        <w:t>. Of the 32,200 western gulls</w:t>
      </w:r>
      <w:r w:rsidRPr="004D370D">
        <w:rPr>
          <w:rFonts w:cs="Times New Roman"/>
          <w:sz w:val="24"/>
          <w:szCs w:val="24"/>
          <w:lang w:val="en-US"/>
        </w:rPr>
        <w:t xml:space="preserve">, </w:t>
      </w:r>
      <w:r w:rsidR="006D25F7">
        <w:rPr>
          <w:rFonts w:cs="Times New Roman"/>
          <w:sz w:val="24"/>
          <w:szCs w:val="24"/>
          <w:lang w:val="en-US"/>
        </w:rPr>
        <w:t>about</w:t>
      </w:r>
      <w:r w:rsidR="00A23A4B">
        <w:rPr>
          <w:rFonts w:cs="Times New Roman"/>
          <w:sz w:val="24"/>
          <w:szCs w:val="24"/>
          <w:lang w:val="en-US"/>
        </w:rPr>
        <w:t xml:space="preserve"> </w:t>
      </w:r>
      <w:r w:rsidRPr="004D370D">
        <w:rPr>
          <w:rFonts w:cs="Times New Roman"/>
          <w:sz w:val="24"/>
          <w:szCs w:val="24"/>
          <w:lang w:val="en-US"/>
        </w:rPr>
        <w:t xml:space="preserve">17,400 </w:t>
      </w:r>
      <w:r>
        <w:rPr>
          <w:rFonts w:cs="Times New Roman"/>
          <w:sz w:val="24"/>
          <w:szCs w:val="24"/>
          <w:lang w:val="en-US"/>
        </w:rPr>
        <w:t xml:space="preserve">are </w:t>
      </w:r>
      <w:r w:rsidRPr="004D370D">
        <w:rPr>
          <w:rFonts w:cs="Times New Roman"/>
          <w:sz w:val="24"/>
          <w:szCs w:val="24"/>
          <w:lang w:val="en-US"/>
        </w:rPr>
        <w:t xml:space="preserve">breeding individuals and </w:t>
      </w:r>
      <w:r w:rsidR="006D25F7">
        <w:rPr>
          <w:rFonts w:cs="Times New Roman"/>
          <w:sz w:val="24"/>
          <w:szCs w:val="24"/>
          <w:lang w:val="en-US"/>
        </w:rPr>
        <w:t xml:space="preserve">about </w:t>
      </w:r>
      <w:r w:rsidRPr="004D370D">
        <w:rPr>
          <w:rFonts w:cs="Times New Roman"/>
          <w:sz w:val="24"/>
          <w:szCs w:val="24"/>
          <w:lang w:val="en-US"/>
        </w:rPr>
        <w:t xml:space="preserve">14,800 </w:t>
      </w:r>
      <w:r>
        <w:rPr>
          <w:rFonts w:cs="Times New Roman"/>
          <w:sz w:val="24"/>
          <w:szCs w:val="24"/>
          <w:lang w:val="en-US"/>
        </w:rPr>
        <w:t xml:space="preserve">are </w:t>
      </w:r>
      <w:r w:rsidR="00B4505D">
        <w:rPr>
          <w:rFonts w:cs="Times New Roman"/>
          <w:sz w:val="24"/>
          <w:szCs w:val="24"/>
          <w:lang w:val="en-US"/>
        </w:rPr>
        <w:t>immatures</w:t>
      </w:r>
      <w:r w:rsidRPr="004D370D">
        <w:rPr>
          <w:rFonts w:cs="Times New Roman"/>
          <w:sz w:val="24"/>
          <w:szCs w:val="24"/>
          <w:lang w:val="en-US"/>
        </w:rPr>
        <w:t xml:space="preserve"> and non-breeding adults.</w:t>
      </w:r>
      <w:r>
        <w:rPr>
          <w:rFonts w:cs="Times New Roman"/>
          <w:sz w:val="24"/>
          <w:szCs w:val="24"/>
          <w:lang w:val="en-US"/>
        </w:rPr>
        <w:t xml:space="preserve"> Assuming the latter to be </w:t>
      </w:r>
      <w:r w:rsidR="00B4505D">
        <w:rPr>
          <w:rFonts w:cs="Times New Roman"/>
          <w:sz w:val="24"/>
          <w:szCs w:val="24"/>
          <w:lang w:val="en-US"/>
        </w:rPr>
        <w:t>immatures</w:t>
      </w:r>
      <w:r>
        <w:rPr>
          <w:rFonts w:cs="Times New Roman"/>
          <w:sz w:val="24"/>
          <w:szCs w:val="24"/>
          <w:lang w:val="en-US"/>
        </w:rPr>
        <w:t xml:space="preserve">, 46% of the western gulls are </w:t>
      </w:r>
      <w:r w:rsidR="00B4505D">
        <w:rPr>
          <w:rFonts w:cs="Times New Roman"/>
          <w:sz w:val="24"/>
          <w:szCs w:val="24"/>
          <w:lang w:val="en-US"/>
        </w:rPr>
        <w:t>immatures</w:t>
      </w:r>
      <w:r w:rsidR="001D4F82">
        <w:rPr>
          <w:rFonts w:cs="Times New Roman"/>
          <w:sz w:val="24"/>
          <w:szCs w:val="24"/>
          <w:lang w:val="en-US"/>
        </w:rPr>
        <w:t xml:space="preserve">. No information was available to determine how the percentage of </w:t>
      </w:r>
      <w:r w:rsidR="00B4505D">
        <w:rPr>
          <w:rFonts w:cs="Times New Roman"/>
          <w:sz w:val="24"/>
          <w:szCs w:val="24"/>
          <w:lang w:val="en-US"/>
        </w:rPr>
        <w:t xml:space="preserve">immature </w:t>
      </w:r>
      <w:r w:rsidR="001D4F82">
        <w:rPr>
          <w:rFonts w:cs="Times New Roman"/>
          <w:sz w:val="24"/>
          <w:szCs w:val="24"/>
          <w:lang w:val="en-US"/>
        </w:rPr>
        <w:t xml:space="preserve">gulls varies seasonally. Thus, in the absence of other information, we assumed that 46% of western gulls present on </w:t>
      </w:r>
      <w:r w:rsidR="00BE7C91">
        <w:rPr>
          <w:rFonts w:cs="Times New Roman"/>
          <w:sz w:val="24"/>
          <w:szCs w:val="24"/>
          <w:lang w:val="en-US"/>
        </w:rPr>
        <w:t>SFI</w:t>
      </w:r>
      <w:r w:rsidR="001D4F82">
        <w:rPr>
          <w:rFonts w:cs="Times New Roman"/>
          <w:sz w:val="24"/>
          <w:szCs w:val="24"/>
          <w:lang w:val="en-US"/>
        </w:rPr>
        <w:t xml:space="preserve"> </w:t>
      </w:r>
      <w:r w:rsidR="00567CF0">
        <w:rPr>
          <w:rFonts w:cs="Times New Roman"/>
          <w:sz w:val="24"/>
          <w:szCs w:val="24"/>
          <w:lang w:val="en-US"/>
        </w:rPr>
        <w:t xml:space="preserve">during </w:t>
      </w:r>
      <w:r w:rsidR="001D4F82">
        <w:rPr>
          <w:rFonts w:cs="Times New Roman"/>
          <w:sz w:val="24"/>
          <w:szCs w:val="24"/>
          <w:lang w:val="en-US"/>
        </w:rPr>
        <w:t xml:space="preserve">November to March are </w:t>
      </w:r>
      <w:r w:rsidR="00B4505D">
        <w:rPr>
          <w:rFonts w:cs="Times New Roman"/>
          <w:sz w:val="24"/>
          <w:szCs w:val="24"/>
          <w:lang w:val="en-US"/>
        </w:rPr>
        <w:t>immatures</w:t>
      </w:r>
      <w:r w:rsidR="001D4F82">
        <w:rPr>
          <w:rFonts w:cs="Times New Roman"/>
          <w:sz w:val="24"/>
          <w:szCs w:val="24"/>
          <w:lang w:val="en-US"/>
        </w:rPr>
        <w:t>.</w:t>
      </w:r>
    </w:p>
    <w:p w:rsidR="00A81D61" w:rsidRPr="0099279C" w:rsidRDefault="00A81D61" w:rsidP="00101022">
      <w:pPr>
        <w:pStyle w:val="Heading3"/>
      </w:pPr>
      <w:bookmarkStart w:id="23" w:name="_Toc343007925"/>
      <w:r w:rsidRPr="0099279C">
        <w:t>Size of Western Gulls</w:t>
      </w:r>
      <w:bookmarkEnd w:id="23"/>
    </w:p>
    <w:p w:rsidR="00A81D61" w:rsidRDefault="00A81D61" w:rsidP="00A81D61">
      <w:pPr>
        <w:rPr>
          <w:rFonts w:cs="Times New Roman"/>
          <w:sz w:val="24"/>
          <w:szCs w:val="24"/>
          <w:lang w:val="en-US"/>
        </w:rPr>
      </w:pPr>
      <w:r w:rsidRPr="0099279C">
        <w:rPr>
          <w:rFonts w:cs="Times New Roman"/>
          <w:sz w:val="24"/>
          <w:szCs w:val="24"/>
          <w:lang w:val="en-US"/>
        </w:rPr>
        <w:t xml:space="preserve">Based on measurements taken at </w:t>
      </w:r>
      <w:r w:rsidR="00BE7C91">
        <w:rPr>
          <w:rFonts w:cs="Times New Roman"/>
          <w:sz w:val="24"/>
          <w:szCs w:val="24"/>
          <w:lang w:val="en-US"/>
        </w:rPr>
        <w:t>SFI</w:t>
      </w:r>
      <w:r w:rsidRPr="0099279C">
        <w:rPr>
          <w:rFonts w:cs="Times New Roman"/>
          <w:sz w:val="24"/>
          <w:szCs w:val="24"/>
          <w:lang w:val="en-US"/>
        </w:rPr>
        <w:t>, the mean body weight of female western gulls is 879 g (standard deviation=78, n=15)</w:t>
      </w:r>
      <w:r w:rsidR="00A214FE" w:rsidRPr="0099279C">
        <w:rPr>
          <w:rFonts w:cs="Times New Roman"/>
          <w:sz w:val="24"/>
          <w:szCs w:val="24"/>
          <w:lang w:val="en-US"/>
        </w:rPr>
        <w:t xml:space="preserve"> (Pierotti, 1981)</w:t>
      </w:r>
      <w:r w:rsidRPr="0099279C">
        <w:rPr>
          <w:rFonts w:cs="Times New Roman"/>
          <w:sz w:val="24"/>
          <w:szCs w:val="24"/>
          <w:lang w:val="en-US"/>
        </w:rPr>
        <w:t xml:space="preserve">. The corresponding mean body weight for males is 1,136 g (standard deviation=47, </w:t>
      </w:r>
      <w:r w:rsidR="00611F60" w:rsidRPr="0099279C">
        <w:rPr>
          <w:rFonts w:cs="Times New Roman"/>
          <w:sz w:val="24"/>
          <w:szCs w:val="24"/>
          <w:lang w:val="en-US"/>
        </w:rPr>
        <w:t>n</w:t>
      </w:r>
      <w:r w:rsidRPr="0099279C">
        <w:rPr>
          <w:rFonts w:cs="Times New Roman"/>
          <w:sz w:val="24"/>
          <w:szCs w:val="24"/>
          <w:lang w:val="en-US"/>
        </w:rPr>
        <w:t>=21) (Pierotti, 1981).</w:t>
      </w:r>
      <w:r w:rsidR="00C039EB" w:rsidRPr="0099279C">
        <w:rPr>
          <w:rFonts w:cs="Times New Roman"/>
          <w:sz w:val="24"/>
          <w:szCs w:val="24"/>
          <w:lang w:val="en-US"/>
        </w:rPr>
        <w:t xml:space="preserve"> In the western gull risk model, these values were used to parameterize normal distributions for males and females. </w:t>
      </w:r>
      <w:r w:rsidR="00B4505D">
        <w:rPr>
          <w:rFonts w:cs="Times New Roman"/>
          <w:sz w:val="24"/>
          <w:szCs w:val="24"/>
          <w:lang w:val="en-US"/>
        </w:rPr>
        <w:t>Immature</w:t>
      </w:r>
      <w:r w:rsidR="00B4505D" w:rsidRPr="0099279C">
        <w:rPr>
          <w:rFonts w:cs="Times New Roman"/>
          <w:sz w:val="24"/>
          <w:szCs w:val="24"/>
          <w:lang w:val="en-US"/>
        </w:rPr>
        <w:t xml:space="preserve"> </w:t>
      </w:r>
      <w:r w:rsidR="00C039EB" w:rsidRPr="0099279C">
        <w:rPr>
          <w:rFonts w:cs="Times New Roman"/>
          <w:sz w:val="24"/>
          <w:szCs w:val="24"/>
          <w:lang w:val="en-US"/>
        </w:rPr>
        <w:t>males and females were assumed to weigh 87.5% of their respective adult counterparts based upon data presented in Table 7.5 of Penniman et al. (1990).</w:t>
      </w:r>
    </w:p>
    <w:p w:rsidR="005A04E6" w:rsidRPr="00567CF0" w:rsidRDefault="00D24F61">
      <w:pPr>
        <w:pStyle w:val="Heading3"/>
      </w:pPr>
      <w:bookmarkStart w:id="24" w:name="_Toc343007926"/>
      <w:r w:rsidRPr="00D24F61">
        <w:t>Hazing Success</w:t>
      </w:r>
      <w:bookmarkEnd w:id="24"/>
    </w:p>
    <w:p w:rsidR="005A04E6" w:rsidRPr="00E12BF3" w:rsidRDefault="00E12BF3">
      <w:pPr>
        <w:rPr>
          <w:sz w:val="24"/>
          <w:szCs w:val="24"/>
          <w:lang w:val="en-US"/>
        </w:rPr>
      </w:pPr>
      <w:r>
        <w:rPr>
          <w:sz w:val="24"/>
          <w:szCs w:val="24"/>
          <w:lang w:val="en-US"/>
        </w:rPr>
        <w:t xml:space="preserve">A number of studies have shown that gull species (i.e., </w:t>
      </w:r>
      <w:r w:rsidR="00D24F61" w:rsidRPr="00D24F61">
        <w:rPr>
          <w:i/>
          <w:sz w:val="24"/>
          <w:szCs w:val="24"/>
          <w:lang w:val="en-US"/>
        </w:rPr>
        <w:t>Larus</w:t>
      </w:r>
      <w:r>
        <w:rPr>
          <w:sz w:val="24"/>
          <w:szCs w:val="24"/>
          <w:lang w:val="en-US"/>
        </w:rPr>
        <w:t xml:space="preserve"> sp.) can be prevented from foraging and loafing in areas where their presence is not desired (e.g., airports, landfills) (Curtis et al., 199</w:t>
      </w:r>
      <w:r w:rsidR="00E02A4B">
        <w:rPr>
          <w:sz w:val="24"/>
          <w:szCs w:val="24"/>
          <w:lang w:val="en-US"/>
        </w:rPr>
        <w:t>5</w:t>
      </w:r>
      <w:r>
        <w:rPr>
          <w:sz w:val="24"/>
          <w:szCs w:val="24"/>
          <w:lang w:val="en-US"/>
        </w:rPr>
        <w:t xml:space="preserve">; Slate et al., 2000; Chipman et al., 2004). The most common technique is to use non-lethal pyrotechnics (Chipman et al., 2004). This technique can be quite effective and has been observed to remove all or nearly all gulls if used on a daily basis. As such, daily hazing is being considered as a management technique on </w:t>
      </w:r>
      <w:r w:rsidR="00BE7C91">
        <w:rPr>
          <w:sz w:val="24"/>
          <w:szCs w:val="24"/>
          <w:lang w:val="en-US"/>
        </w:rPr>
        <w:t>SFI</w:t>
      </w:r>
      <w:r>
        <w:rPr>
          <w:sz w:val="24"/>
          <w:szCs w:val="24"/>
          <w:lang w:val="en-US"/>
        </w:rPr>
        <w:t xml:space="preserve"> to reduce the number of gulls exposed to the rodenticide following application. Although daily hazing has been an effective management tool at airports and landfills, it’s effectiveness as a tool on </w:t>
      </w:r>
      <w:r w:rsidR="00BE7C91">
        <w:rPr>
          <w:sz w:val="24"/>
          <w:szCs w:val="24"/>
          <w:lang w:val="en-US"/>
        </w:rPr>
        <w:t>SFI</w:t>
      </w:r>
      <w:r>
        <w:rPr>
          <w:sz w:val="24"/>
          <w:szCs w:val="24"/>
          <w:lang w:val="en-US"/>
        </w:rPr>
        <w:t xml:space="preserve"> is unknown</w:t>
      </w:r>
      <w:r w:rsidR="00B4505D">
        <w:rPr>
          <w:sz w:val="24"/>
          <w:szCs w:val="24"/>
          <w:lang w:val="en-US"/>
        </w:rPr>
        <w:t xml:space="preserve"> at this time</w:t>
      </w:r>
      <w:r>
        <w:rPr>
          <w:sz w:val="24"/>
          <w:szCs w:val="24"/>
          <w:lang w:val="en-US"/>
        </w:rPr>
        <w:t xml:space="preserve">. Thus, in this assessment we conducted model runs for </w:t>
      </w:r>
      <w:r w:rsidR="008F3E19">
        <w:rPr>
          <w:sz w:val="24"/>
          <w:szCs w:val="24"/>
          <w:lang w:val="en-US"/>
        </w:rPr>
        <w:t xml:space="preserve">each rodenticide for </w:t>
      </w:r>
      <w:r>
        <w:rPr>
          <w:sz w:val="24"/>
          <w:szCs w:val="24"/>
          <w:lang w:val="en-US"/>
        </w:rPr>
        <w:t xml:space="preserve">a range of possible hazing </w:t>
      </w:r>
      <w:r w:rsidR="00BA0CE0">
        <w:rPr>
          <w:sz w:val="24"/>
          <w:szCs w:val="24"/>
          <w:lang w:val="en-US"/>
        </w:rPr>
        <w:t xml:space="preserve">successes, i.e., </w:t>
      </w:r>
      <w:r w:rsidR="008F3E19">
        <w:rPr>
          <w:sz w:val="24"/>
          <w:szCs w:val="24"/>
          <w:lang w:val="en-US"/>
        </w:rPr>
        <w:t xml:space="preserve">75%, 90%, 95% and 98%. </w:t>
      </w:r>
      <w:r w:rsidR="002E4035" w:rsidRPr="002E4035">
        <w:rPr>
          <w:sz w:val="24"/>
          <w:szCs w:val="24"/>
          <w:lang w:val="en-US"/>
        </w:rPr>
        <w:t>Hazing trials conducted in January</w:t>
      </w:r>
      <w:r w:rsidR="00814DA4">
        <w:rPr>
          <w:sz w:val="24"/>
          <w:szCs w:val="24"/>
          <w:lang w:val="en-US"/>
        </w:rPr>
        <w:t>,</w:t>
      </w:r>
      <w:r w:rsidR="002E4035" w:rsidRPr="002E4035">
        <w:rPr>
          <w:sz w:val="24"/>
          <w:szCs w:val="24"/>
          <w:lang w:val="en-US"/>
        </w:rPr>
        <w:t xml:space="preserve"> 2011 confirmed that gulls could be effectively hazed from Southeast Farallon using standard avian hazing methods (Pott and Grout</w:t>
      </w:r>
      <w:r w:rsidR="00814DA4">
        <w:rPr>
          <w:sz w:val="24"/>
          <w:szCs w:val="24"/>
          <w:lang w:val="en-US"/>
        </w:rPr>
        <w:t>,</w:t>
      </w:r>
      <w:r w:rsidR="002E4035" w:rsidRPr="002E4035">
        <w:rPr>
          <w:sz w:val="24"/>
          <w:szCs w:val="24"/>
          <w:lang w:val="en-US"/>
        </w:rPr>
        <w:t xml:space="preserve"> 2012). A more extensive and longer gull hazing trial is being planned for the fall of 2012 at SFI to confirm and quantify the expected hazing effectiveness rates for western gulls on the island and to determine which hazing techniques are most effective at dispersing gulls.</w:t>
      </w:r>
    </w:p>
    <w:p w:rsidR="00C12809" w:rsidRPr="0099279C" w:rsidRDefault="00C12809" w:rsidP="00101022">
      <w:pPr>
        <w:pStyle w:val="Heading3"/>
      </w:pPr>
      <w:bookmarkStart w:id="25" w:name="_Toc343007927"/>
      <w:r w:rsidRPr="0099279C">
        <w:t>Primary Exposure Route Variables</w:t>
      </w:r>
      <w:bookmarkEnd w:id="25"/>
    </w:p>
    <w:p w:rsidR="00C12809" w:rsidRPr="0099279C" w:rsidRDefault="00C12809" w:rsidP="00C12809">
      <w:pPr>
        <w:rPr>
          <w:rFonts w:cs="Times New Roman"/>
          <w:sz w:val="24"/>
          <w:szCs w:val="24"/>
          <w:lang w:val="en-US"/>
        </w:rPr>
      </w:pPr>
      <w:r w:rsidRPr="0099279C">
        <w:rPr>
          <w:rFonts w:cs="Times New Roman"/>
          <w:sz w:val="24"/>
          <w:szCs w:val="24"/>
          <w:lang w:val="en-US"/>
        </w:rPr>
        <w:t xml:space="preserve">Cereal grains such as those found in the </w:t>
      </w:r>
      <w:r w:rsidR="008F4EB1">
        <w:rPr>
          <w:rFonts w:cs="Times New Roman"/>
          <w:sz w:val="24"/>
          <w:szCs w:val="24"/>
          <w:lang w:val="en-US"/>
        </w:rPr>
        <w:t>rodenticide</w:t>
      </w:r>
      <w:r w:rsidR="008F4EB1" w:rsidRPr="0099279C">
        <w:rPr>
          <w:rFonts w:cs="Times New Roman"/>
          <w:sz w:val="24"/>
          <w:szCs w:val="24"/>
          <w:lang w:val="en-US"/>
        </w:rPr>
        <w:t xml:space="preserve"> </w:t>
      </w:r>
      <w:r w:rsidR="00611F60" w:rsidRPr="0099279C">
        <w:rPr>
          <w:rFonts w:cs="Times New Roman"/>
          <w:sz w:val="24"/>
          <w:szCs w:val="24"/>
          <w:lang w:val="en-US"/>
        </w:rPr>
        <w:t>pellet</w:t>
      </w:r>
      <w:r w:rsidRPr="0099279C">
        <w:rPr>
          <w:rFonts w:cs="Times New Roman"/>
          <w:sz w:val="24"/>
          <w:szCs w:val="24"/>
          <w:lang w:val="en-US"/>
        </w:rPr>
        <w:t xml:space="preserve"> formulation are not found on </w:t>
      </w:r>
      <w:r w:rsidR="00BE7C91">
        <w:rPr>
          <w:rFonts w:cs="Times New Roman"/>
          <w:sz w:val="24"/>
          <w:szCs w:val="24"/>
          <w:lang w:val="en-US"/>
        </w:rPr>
        <w:t>SFI</w:t>
      </w:r>
      <w:r w:rsidRPr="0099279C">
        <w:rPr>
          <w:rFonts w:cs="Times New Roman"/>
          <w:sz w:val="24"/>
          <w:szCs w:val="24"/>
          <w:lang w:val="en-US"/>
        </w:rPr>
        <w:t xml:space="preserve"> and thus are not normally part of the diet of western gulls. In general, western gulls are predators that forage on pelagic and intertidal marine fishes and invertebrates (Hunt and Hunt, 1976; Hunt and Butler, 1980; Pierotti, 1980; Ainley et al., 1990; Pierotti and Annett, 1995; Snellen et al., 2007).</w:t>
      </w:r>
      <w:r w:rsidR="004009EB" w:rsidRPr="0099279C">
        <w:rPr>
          <w:rFonts w:cs="Times New Roman"/>
          <w:sz w:val="24"/>
          <w:szCs w:val="24"/>
          <w:lang w:val="en-US"/>
        </w:rPr>
        <w:t xml:space="preserve"> However, western gulls are opportunistic and will forage on other items that are readily available (Pierotti and Annett, 1995). During the SEFI trials in November, 2010, western gulls were observed feeding on non-toxic pellets. Pellet consumption was infrequent immediately after first application but increased as more gulls became aware of the food source (</w:t>
      </w:r>
      <w:r w:rsidR="00A23A4B">
        <w:rPr>
          <w:rFonts w:cs="Times New Roman"/>
          <w:sz w:val="24"/>
          <w:szCs w:val="24"/>
          <w:lang w:val="en-US"/>
        </w:rPr>
        <w:t>IC</w:t>
      </w:r>
      <w:r w:rsidR="00F95C6A">
        <w:rPr>
          <w:rFonts w:cs="Times New Roman"/>
          <w:sz w:val="24"/>
          <w:szCs w:val="24"/>
          <w:lang w:val="en-US"/>
        </w:rPr>
        <w:t>,</w:t>
      </w:r>
      <w:r w:rsidR="00A23A4B">
        <w:rPr>
          <w:rFonts w:cs="Times New Roman"/>
          <w:sz w:val="24"/>
          <w:szCs w:val="24"/>
          <w:lang w:val="en-US"/>
        </w:rPr>
        <w:t xml:space="preserve"> 2011</w:t>
      </w:r>
      <w:r w:rsidR="004009EB" w:rsidRPr="0099279C">
        <w:rPr>
          <w:rFonts w:cs="Times New Roman"/>
          <w:sz w:val="24"/>
          <w:szCs w:val="24"/>
          <w:lang w:val="en-US"/>
        </w:rPr>
        <w:t>).</w:t>
      </w:r>
      <w:r w:rsidR="00AF6D50" w:rsidRPr="0099279C">
        <w:rPr>
          <w:rFonts w:cs="Times New Roman"/>
          <w:sz w:val="24"/>
          <w:szCs w:val="24"/>
          <w:lang w:val="en-US"/>
        </w:rPr>
        <w:t xml:space="preserve"> Data from the SEFI trials indicated that 22% of </w:t>
      </w:r>
      <w:r w:rsidR="00FE2215">
        <w:rPr>
          <w:rFonts w:cs="Times New Roman"/>
          <w:sz w:val="24"/>
          <w:szCs w:val="24"/>
          <w:lang w:val="en-US"/>
        </w:rPr>
        <w:t xml:space="preserve">unhazed </w:t>
      </w:r>
      <w:r w:rsidR="00AF6D50" w:rsidRPr="0099279C">
        <w:rPr>
          <w:rFonts w:cs="Times New Roman"/>
          <w:sz w:val="24"/>
          <w:szCs w:val="24"/>
          <w:lang w:val="en-US"/>
        </w:rPr>
        <w:t xml:space="preserve">gulls in the bait zone were observed or suspected of foraging on grain pellets. Further, approximately 25% of gull fecal pellets had </w:t>
      </w:r>
      <w:r w:rsidR="00611F60" w:rsidRPr="0099279C">
        <w:rPr>
          <w:rFonts w:cs="Times New Roman"/>
          <w:sz w:val="24"/>
          <w:szCs w:val="24"/>
          <w:lang w:val="en-US"/>
        </w:rPr>
        <w:t>a</w:t>
      </w:r>
      <w:r w:rsidR="00AF6D50" w:rsidRPr="0099279C">
        <w:rPr>
          <w:rFonts w:cs="Times New Roman"/>
          <w:sz w:val="24"/>
          <w:szCs w:val="24"/>
          <w:lang w:val="en-US"/>
        </w:rPr>
        <w:t xml:space="preserve"> green dye that had been incorporated in the pellets. </w:t>
      </w:r>
      <w:r w:rsidR="008F4EB1" w:rsidRPr="0099279C">
        <w:rPr>
          <w:rFonts w:cs="Times New Roman"/>
          <w:sz w:val="24"/>
          <w:szCs w:val="24"/>
          <w:lang w:val="en-US"/>
        </w:rPr>
        <w:t>T</w:t>
      </w:r>
      <w:r w:rsidR="008F4EB1">
        <w:rPr>
          <w:rFonts w:cs="Times New Roman"/>
          <w:sz w:val="24"/>
          <w:szCs w:val="24"/>
          <w:lang w:val="en-US"/>
        </w:rPr>
        <w:t>o be conservative</w:t>
      </w:r>
      <w:r w:rsidR="00AF6D50" w:rsidRPr="0099279C">
        <w:rPr>
          <w:rFonts w:cs="Times New Roman"/>
          <w:sz w:val="24"/>
          <w:szCs w:val="24"/>
          <w:lang w:val="en-US"/>
        </w:rPr>
        <w:t xml:space="preserve">, we assumed </w:t>
      </w:r>
      <w:r w:rsidR="008F4EB1">
        <w:rPr>
          <w:rFonts w:cs="Times New Roman"/>
          <w:sz w:val="24"/>
          <w:szCs w:val="24"/>
          <w:lang w:val="en-US"/>
        </w:rPr>
        <w:t>a</w:t>
      </w:r>
      <w:r w:rsidR="00AF6D50" w:rsidRPr="0099279C">
        <w:rPr>
          <w:rFonts w:cs="Times New Roman"/>
          <w:sz w:val="24"/>
          <w:szCs w:val="24"/>
          <w:lang w:val="en-US"/>
        </w:rPr>
        <w:t xml:space="preserve"> 25% daily probability of a</w:t>
      </w:r>
      <w:r w:rsidR="00FE2215">
        <w:rPr>
          <w:rFonts w:cs="Times New Roman"/>
          <w:sz w:val="24"/>
          <w:szCs w:val="24"/>
          <w:lang w:val="en-US"/>
        </w:rPr>
        <w:t>n unhazed</w:t>
      </w:r>
      <w:r w:rsidR="00AF6D50" w:rsidRPr="0099279C">
        <w:rPr>
          <w:rFonts w:cs="Times New Roman"/>
          <w:sz w:val="24"/>
          <w:szCs w:val="24"/>
          <w:lang w:val="en-US"/>
        </w:rPr>
        <w:t xml:space="preserve"> gull consuming at least one pellet when pellets are readily available (i.e., shortly after application). </w:t>
      </w:r>
      <w:r w:rsidR="00D036B7" w:rsidRPr="0099279C">
        <w:rPr>
          <w:rFonts w:cs="Times New Roman"/>
          <w:sz w:val="24"/>
          <w:szCs w:val="24"/>
          <w:lang w:val="en-US"/>
        </w:rPr>
        <w:t>A binomial distribution was assumed for this variable</w:t>
      </w:r>
      <w:r w:rsidR="00611F60" w:rsidRPr="0099279C">
        <w:rPr>
          <w:rFonts w:cs="Times New Roman"/>
          <w:sz w:val="24"/>
          <w:szCs w:val="24"/>
          <w:lang w:val="en-US"/>
        </w:rPr>
        <w:t xml:space="preserve"> for each day of the model simulation</w:t>
      </w:r>
      <w:r w:rsidR="00D036B7" w:rsidRPr="0099279C">
        <w:rPr>
          <w:rFonts w:cs="Times New Roman"/>
          <w:sz w:val="24"/>
          <w:szCs w:val="24"/>
          <w:lang w:val="en-US"/>
        </w:rPr>
        <w:t xml:space="preserve">. </w:t>
      </w:r>
    </w:p>
    <w:p w:rsidR="007562DB" w:rsidRPr="0099279C" w:rsidRDefault="007562DB" w:rsidP="00C12809">
      <w:pPr>
        <w:rPr>
          <w:rFonts w:cs="Times New Roman"/>
          <w:sz w:val="24"/>
          <w:szCs w:val="24"/>
          <w:lang w:val="en-US"/>
        </w:rPr>
      </w:pPr>
      <w:r w:rsidRPr="0099279C">
        <w:rPr>
          <w:rFonts w:cs="Times New Roman"/>
          <w:sz w:val="24"/>
          <w:szCs w:val="24"/>
          <w:lang w:val="en-US"/>
        </w:rPr>
        <w:t xml:space="preserve">In the western gull risk model, consumption of pellets was assumed to decline in direct relation to the decline in availability of pellets relative to the day of </w:t>
      </w:r>
      <w:r w:rsidR="00EA2FF4" w:rsidRPr="0099279C">
        <w:rPr>
          <w:rFonts w:cs="Times New Roman"/>
          <w:sz w:val="24"/>
          <w:szCs w:val="24"/>
          <w:lang w:val="en-US"/>
        </w:rPr>
        <w:t xml:space="preserve">initial </w:t>
      </w:r>
      <w:r w:rsidRPr="0099279C">
        <w:rPr>
          <w:rFonts w:cs="Times New Roman"/>
          <w:sz w:val="24"/>
          <w:szCs w:val="24"/>
          <w:lang w:val="en-US"/>
        </w:rPr>
        <w:t xml:space="preserve">application. Thus, the daily probability of consuming pellets is adjusted to account for the availability of pellets. For example, if the daily probability of </w:t>
      </w:r>
      <w:r w:rsidR="00FE2215">
        <w:rPr>
          <w:rFonts w:cs="Times New Roman"/>
          <w:sz w:val="24"/>
          <w:szCs w:val="24"/>
          <w:lang w:val="en-US"/>
        </w:rPr>
        <w:t xml:space="preserve">an unhazed gull </w:t>
      </w:r>
      <w:r w:rsidRPr="0099279C">
        <w:rPr>
          <w:rFonts w:cs="Times New Roman"/>
          <w:sz w:val="24"/>
          <w:szCs w:val="24"/>
          <w:lang w:val="en-US"/>
        </w:rPr>
        <w:t xml:space="preserve">consuming </w:t>
      </w:r>
      <w:r w:rsidR="00EA2FF4" w:rsidRPr="0099279C">
        <w:rPr>
          <w:rFonts w:cs="Times New Roman"/>
          <w:sz w:val="24"/>
          <w:szCs w:val="24"/>
          <w:lang w:val="en-US"/>
        </w:rPr>
        <w:t>pellets</w:t>
      </w:r>
      <w:r w:rsidRPr="0099279C">
        <w:rPr>
          <w:rFonts w:cs="Times New Roman"/>
          <w:sz w:val="24"/>
          <w:szCs w:val="24"/>
          <w:lang w:val="en-US"/>
        </w:rPr>
        <w:t xml:space="preserve"> on day zero is </w:t>
      </w:r>
      <w:r w:rsidR="001D3291">
        <w:rPr>
          <w:rFonts w:cs="Times New Roman"/>
          <w:sz w:val="24"/>
          <w:szCs w:val="24"/>
          <w:lang w:val="en-US"/>
        </w:rPr>
        <w:t>2</w:t>
      </w:r>
      <w:r w:rsidR="00EA2FF4" w:rsidRPr="0099279C">
        <w:rPr>
          <w:rFonts w:cs="Times New Roman"/>
          <w:sz w:val="24"/>
          <w:szCs w:val="24"/>
          <w:lang w:val="en-US"/>
        </w:rPr>
        <w:t>5</w:t>
      </w:r>
      <w:r w:rsidRPr="0099279C">
        <w:rPr>
          <w:rFonts w:cs="Times New Roman"/>
          <w:sz w:val="24"/>
          <w:szCs w:val="24"/>
          <w:lang w:val="en-US"/>
        </w:rPr>
        <w:t xml:space="preserve">% and the availability of </w:t>
      </w:r>
      <w:r w:rsidR="00EA2FF4" w:rsidRPr="0099279C">
        <w:rPr>
          <w:rFonts w:cs="Times New Roman"/>
          <w:sz w:val="24"/>
          <w:szCs w:val="24"/>
          <w:lang w:val="en-US"/>
        </w:rPr>
        <w:t>pellets</w:t>
      </w:r>
      <w:r w:rsidRPr="0099279C">
        <w:rPr>
          <w:rFonts w:cs="Times New Roman"/>
          <w:sz w:val="24"/>
          <w:szCs w:val="24"/>
          <w:lang w:val="en-US"/>
        </w:rPr>
        <w:t xml:space="preserve"> on the surface compared to </w:t>
      </w:r>
      <w:r w:rsidR="00EA2FF4" w:rsidRPr="0099279C">
        <w:rPr>
          <w:rFonts w:cs="Times New Roman"/>
          <w:sz w:val="24"/>
          <w:szCs w:val="24"/>
          <w:lang w:val="en-US"/>
        </w:rPr>
        <w:t>day of initial application</w:t>
      </w:r>
      <w:r w:rsidRPr="0099279C">
        <w:rPr>
          <w:rFonts w:cs="Times New Roman"/>
          <w:sz w:val="24"/>
          <w:szCs w:val="24"/>
          <w:lang w:val="en-US"/>
        </w:rPr>
        <w:t xml:space="preserve"> is </w:t>
      </w:r>
      <w:r w:rsidR="00EA2FF4" w:rsidRPr="0099279C">
        <w:rPr>
          <w:rFonts w:cs="Times New Roman"/>
          <w:sz w:val="24"/>
          <w:szCs w:val="24"/>
          <w:lang w:val="en-US"/>
        </w:rPr>
        <w:t>3.1</w:t>
      </w:r>
      <w:r w:rsidRPr="0099279C">
        <w:rPr>
          <w:rFonts w:cs="Times New Roman"/>
          <w:sz w:val="24"/>
          <w:szCs w:val="24"/>
          <w:lang w:val="en-US"/>
        </w:rPr>
        <w:t>% on day 5 (the case</w:t>
      </w:r>
      <w:r w:rsidR="00EA2FF4" w:rsidRPr="0099279C">
        <w:rPr>
          <w:rFonts w:cs="Times New Roman"/>
          <w:sz w:val="24"/>
          <w:szCs w:val="24"/>
          <w:lang w:val="en-US"/>
        </w:rPr>
        <w:t xml:space="preserve"> when </w:t>
      </w:r>
      <w:r w:rsidR="001B076E">
        <w:rPr>
          <w:rFonts w:cs="Times New Roman"/>
          <w:sz w:val="24"/>
          <w:szCs w:val="24"/>
          <w:lang w:val="en-US"/>
        </w:rPr>
        <w:t xml:space="preserve">the </w:t>
      </w:r>
      <w:r w:rsidR="00EA2FF4" w:rsidRPr="0099279C">
        <w:rPr>
          <w:rFonts w:cs="Times New Roman"/>
          <w:sz w:val="24"/>
          <w:szCs w:val="24"/>
          <w:lang w:val="en-US"/>
        </w:rPr>
        <w:t>pellet half-life is 1 day</w:t>
      </w:r>
      <w:r w:rsidRPr="0099279C">
        <w:rPr>
          <w:rFonts w:cs="Times New Roman"/>
          <w:sz w:val="24"/>
          <w:szCs w:val="24"/>
          <w:lang w:val="en-US"/>
        </w:rPr>
        <w:t xml:space="preserve">), then the daily probability of </w:t>
      </w:r>
      <w:r w:rsidR="00A214FE" w:rsidRPr="0099279C">
        <w:rPr>
          <w:rFonts w:cs="Times New Roman"/>
          <w:sz w:val="24"/>
          <w:szCs w:val="24"/>
          <w:lang w:val="en-US"/>
        </w:rPr>
        <w:t>a</w:t>
      </w:r>
      <w:r w:rsidR="00FE2215">
        <w:rPr>
          <w:rFonts w:cs="Times New Roman"/>
          <w:sz w:val="24"/>
          <w:szCs w:val="24"/>
          <w:lang w:val="en-US"/>
        </w:rPr>
        <w:t>n unhazed</w:t>
      </w:r>
      <w:r w:rsidR="00A214FE" w:rsidRPr="0099279C">
        <w:rPr>
          <w:rFonts w:cs="Times New Roman"/>
          <w:sz w:val="24"/>
          <w:szCs w:val="24"/>
          <w:lang w:val="en-US"/>
        </w:rPr>
        <w:t xml:space="preserve"> gull </w:t>
      </w:r>
      <w:r w:rsidRPr="0099279C">
        <w:rPr>
          <w:rFonts w:cs="Times New Roman"/>
          <w:sz w:val="24"/>
          <w:szCs w:val="24"/>
          <w:lang w:val="en-US"/>
        </w:rPr>
        <w:t xml:space="preserve">consuming </w:t>
      </w:r>
      <w:r w:rsidR="00EA2FF4" w:rsidRPr="0099279C">
        <w:rPr>
          <w:rFonts w:cs="Times New Roman"/>
          <w:sz w:val="24"/>
          <w:szCs w:val="24"/>
          <w:lang w:val="en-US"/>
        </w:rPr>
        <w:t>pellets on day 5 is 0.73</w:t>
      </w:r>
      <w:r w:rsidRPr="0099279C">
        <w:rPr>
          <w:rFonts w:cs="Times New Roman"/>
          <w:sz w:val="24"/>
          <w:szCs w:val="24"/>
          <w:lang w:val="en-US"/>
        </w:rPr>
        <w:t>%.</w:t>
      </w:r>
      <w:r w:rsidR="001D3291">
        <w:rPr>
          <w:rFonts w:cs="Times New Roman"/>
          <w:sz w:val="24"/>
          <w:szCs w:val="24"/>
          <w:lang w:val="en-US"/>
        </w:rPr>
        <w:t xml:space="preserve"> Pellet availability increases with subsequent applications of rodenticide.</w:t>
      </w:r>
    </w:p>
    <w:p w:rsidR="00AF6D50" w:rsidRPr="0099279C" w:rsidRDefault="00B31A04" w:rsidP="00C12809">
      <w:pPr>
        <w:rPr>
          <w:rFonts w:cs="Times New Roman"/>
          <w:sz w:val="24"/>
          <w:szCs w:val="24"/>
          <w:lang w:val="en-US"/>
        </w:rPr>
      </w:pPr>
      <w:r w:rsidRPr="0099279C">
        <w:rPr>
          <w:rFonts w:cs="Times New Roman"/>
          <w:sz w:val="24"/>
          <w:szCs w:val="24"/>
          <w:lang w:val="en-US"/>
        </w:rPr>
        <w:t>Observational data at SEFI suggest that once gulls learn of the pellet food source</w:t>
      </w:r>
      <w:r w:rsidR="00415336" w:rsidRPr="0099279C">
        <w:rPr>
          <w:rFonts w:cs="Times New Roman"/>
          <w:sz w:val="24"/>
          <w:szCs w:val="24"/>
          <w:lang w:val="en-US"/>
        </w:rPr>
        <w:t>,</w:t>
      </w:r>
      <w:r w:rsidRPr="0099279C">
        <w:rPr>
          <w:rFonts w:cs="Times New Roman"/>
          <w:sz w:val="24"/>
          <w:szCs w:val="24"/>
          <w:lang w:val="en-US"/>
        </w:rPr>
        <w:t xml:space="preserve"> they are more likely to return to that food source in 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pellets to account for this learned behavior. Quantitative </w:t>
      </w:r>
      <w:r w:rsidR="00611F60" w:rsidRPr="0099279C">
        <w:rPr>
          <w:rFonts w:cs="Times New Roman"/>
          <w:sz w:val="24"/>
          <w:szCs w:val="24"/>
          <w:lang w:val="en-US"/>
        </w:rPr>
        <w:t>data</w:t>
      </w:r>
      <w:r w:rsidRPr="0099279C">
        <w:rPr>
          <w:rFonts w:cs="Times New Roman"/>
          <w:sz w:val="24"/>
          <w:szCs w:val="24"/>
          <w:lang w:val="en-US"/>
        </w:rPr>
        <w:t xml:space="preserve"> to parameterize the </w:t>
      </w:r>
      <w:r w:rsidR="00076970">
        <w:rPr>
          <w:rFonts w:cs="Times New Roman"/>
          <w:sz w:val="24"/>
          <w:szCs w:val="24"/>
          <w:lang w:val="en-US"/>
        </w:rPr>
        <w:t>conditional probability</w:t>
      </w:r>
      <w:r w:rsidRPr="0099279C">
        <w:rPr>
          <w:rFonts w:cs="Times New Roman"/>
          <w:sz w:val="24"/>
          <w:szCs w:val="24"/>
          <w:lang w:val="en-US"/>
        </w:rPr>
        <w:t xml:space="preserve">, however, </w:t>
      </w:r>
      <w:r w:rsidR="00611F60" w:rsidRPr="0099279C">
        <w:rPr>
          <w:rFonts w:cs="Times New Roman"/>
          <w:sz w:val="24"/>
          <w:szCs w:val="24"/>
          <w:lang w:val="en-US"/>
        </w:rPr>
        <w:t>are</w:t>
      </w:r>
      <w:r w:rsidRPr="0099279C">
        <w:rPr>
          <w:rFonts w:cs="Times New Roman"/>
          <w:sz w:val="24"/>
          <w:szCs w:val="24"/>
          <w:lang w:val="en-US"/>
        </w:rPr>
        <w:t xml:space="preserve"> lacking. </w:t>
      </w:r>
      <w:r w:rsidR="001D3291">
        <w:rPr>
          <w:rFonts w:cs="Times New Roman"/>
          <w:sz w:val="24"/>
          <w:szCs w:val="24"/>
          <w:lang w:val="en-US"/>
        </w:rPr>
        <w:t>A value of</w:t>
      </w:r>
      <w:r w:rsidRPr="0099279C">
        <w:rPr>
          <w:rFonts w:cs="Times New Roman"/>
          <w:sz w:val="24"/>
          <w:szCs w:val="24"/>
          <w:lang w:val="en-US"/>
        </w:rPr>
        <w:t xml:space="preserve"> 90%</w:t>
      </w:r>
      <w:r w:rsidR="001D3291">
        <w:rPr>
          <w:rFonts w:cs="Times New Roman"/>
          <w:sz w:val="24"/>
          <w:szCs w:val="24"/>
          <w:lang w:val="en-US"/>
        </w:rPr>
        <w:t xml:space="preserve"> was</w:t>
      </w:r>
      <w:r w:rsidRPr="0099279C">
        <w:rPr>
          <w:rFonts w:cs="Times New Roman"/>
          <w:sz w:val="24"/>
          <w:szCs w:val="24"/>
          <w:lang w:val="en-US"/>
        </w:rPr>
        <w:t xml:space="preserve"> assigned to this variable</w:t>
      </w:r>
      <w:r w:rsidRPr="00F95C6A">
        <w:rPr>
          <w:rFonts w:cs="Times New Roman"/>
          <w:sz w:val="24"/>
          <w:szCs w:val="24"/>
          <w:lang w:val="en-US"/>
        </w:rPr>
        <w:t>.</w:t>
      </w:r>
      <w:r w:rsidR="00421448" w:rsidRPr="00F95C6A">
        <w:rPr>
          <w:rFonts w:cs="Times New Roman"/>
          <w:sz w:val="24"/>
          <w:szCs w:val="24"/>
          <w:lang w:val="en-US"/>
        </w:rPr>
        <w:t xml:space="preserve"> </w:t>
      </w:r>
      <w:r w:rsidR="00F95C6A">
        <w:rPr>
          <w:sz w:val="24"/>
          <w:szCs w:val="24"/>
        </w:rPr>
        <w:t>Although</w:t>
      </w:r>
      <w:r w:rsidR="00F95C6A" w:rsidRPr="00F95C6A">
        <w:rPr>
          <w:sz w:val="24"/>
          <w:szCs w:val="24"/>
        </w:rPr>
        <w:t xml:space="preserve"> we assumed that most gulls, once they ate bait, would eat it again the next day, we assumed a 10% daily turnover rate of </w:t>
      </w:r>
      <w:r w:rsidR="00F95C6A">
        <w:rPr>
          <w:sz w:val="24"/>
          <w:szCs w:val="24"/>
        </w:rPr>
        <w:t>w</w:t>
      </w:r>
      <w:r w:rsidR="00F95C6A" w:rsidRPr="00F95C6A">
        <w:rPr>
          <w:sz w:val="24"/>
          <w:szCs w:val="24"/>
        </w:rPr>
        <w:t xml:space="preserve">estern </w:t>
      </w:r>
      <w:r w:rsidR="00F95C6A">
        <w:rPr>
          <w:sz w:val="24"/>
          <w:szCs w:val="24"/>
        </w:rPr>
        <w:t>g</w:t>
      </w:r>
      <w:r w:rsidR="00F95C6A" w:rsidRPr="00F95C6A">
        <w:rPr>
          <w:sz w:val="24"/>
          <w:szCs w:val="24"/>
        </w:rPr>
        <w:t>ulls in the fall (</w:t>
      </w:r>
      <w:r w:rsidR="00F95C6A">
        <w:rPr>
          <w:sz w:val="24"/>
          <w:szCs w:val="24"/>
        </w:rPr>
        <w:t xml:space="preserve">a </w:t>
      </w:r>
      <w:r w:rsidR="00F95C6A" w:rsidRPr="00F95C6A">
        <w:rPr>
          <w:sz w:val="24"/>
          <w:szCs w:val="24"/>
        </w:rPr>
        <w:t>very conservative estimate)</w:t>
      </w:r>
      <w:r w:rsidR="00F95C6A">
        <w:rPr>
          <w:sz w:val="24"/>
          <w:szCs w:val="24"/>
        </w:rPr>
        <w:t>.</w:t>
      </w:r>
      <w:r w:rsidR="00F95C6A" w:rsidRPr="00F95C6A">
        <w:rPr>
          <w:sz w:val="24"/>
          <w:szCs w:val="24"/>
        </w:rPr>
        <w:t xml:space="preserve"> </w:t>
      </w:r>
      <w:r w:rsidR="00F95C6A">
        <w:rPr>
          <w:sz w:val="24"/>
          <w:szCs w:val="24"/>
        </w:rPr>
        <w:t>Thus,</w:t>
      </w:r>
      <w:r w:rsidR="00F95C6A" w:rsidRPr="00F95C6A">
        <w:rPr>
          <w:sz w:val="24"/>
          <w:szCs w:val="24"/>
        </w:rPr>
        <w:t xml:space="preserve"> the </w:t>
      </w:r>
      <w:r w:rsidR="00F95C6A">
        <w:rPr>
          <w:sz w:val="24"/>
          <w:szCs w:val="24"/>
        </w:rPr>
        <w:t>probability</w:t>
      </w:r>
      <w:r w:rsidR="00F95C6A" w:rsidRPr="00F95C6A">
        <w:rPr>
          <w:sz w:val="24"/>
          <w:szCs w:val="24"/>
        </w:rPr>
        <w:t xml:space="preserve"> of a gull consuming pellets on day 1 doing so on day 2 </w:t>
      </w:r>
      <w:r w:rsidR="00F95C6A">
        <w:rPr>
          <w:sz w:val="24"/>
          <w:szCs w:val="24"/>
        </w:rPr>
        <w:t>is thus</w:t>
      </w:r>
      <w:r w:rsidR="00F95C6A" w:rsidRPr="00F95C6A">
        <w:rPr>
          <w:sz w:val="24"/>
          <w:szCs w:val="24"/>
        </w:rPr>
        <w:t xml:space="preserve"> ~90%.</w:t>
      </w:r>
      <w:r w:rsidR="00F95C6A">
        <w:rPr>
          <w:rFonts w:cs="Times New Roman"/>
          <w:sz w:val="24"/>
          <w:szCs w:val="24"/>
          <w:lang w:val="en-US"/>
        </w:rPr>
        <w:t xml:space="preserve"> </w:t>
      </w:r>
      <w:r w:rsidR="00421448" w:rsidRPr="0099279C">
        <w:rPr>
          <w:rFonts w:cs="Times New Roman"/>
          <w:sz w:val="24"/>
          <w:szCs w:val="24"/>
          <w:lang w:val="en-US"/>
        </w:rPr>
        <w:t xml:space="preserve">The </w:t>
      </w:r>
      <w:r w:rsidR="00076970">
        <w:rPr>
          <w:rFonts w:cs="Times New Roman"/>
          <w:sz w:val="24"/>
          <w:szCs w:val="24"/>
          <w:lang w:val="en-US"/>
        </w:rPr>
        <w:t>conditional probability</w:t>
      </w:r>
      <w:r w:rsidR="00421448" w:rsidRPr="0099279C">
        <w:rPr>
          <w:rFonts w:cs="Times New Roman"/>
          <w:sz w:val="24"/>
          <w:szCs w:val="24"/>
          <w:lang w:val="en-US"/>
        </w:rPr>
        <w:t xml:space="preserve"> essentially adjusts the daily probability of a</w:t>
      </w:r>
      <w:r w:rsidR="00FE2215">
        <w:rPr>
          <w:rFonts w:cs="Times New Roman"/>
          <w:sz w:val="24"/>
          <w:szCs w:val="24"/>
          <w:lang w:val="en-US"/>
        </w:rPr>
        <w:t>n unhazed</w:t>
      </w:r>
      <w:r w:rsidR="00421448" w:rsidRPr="0099279C">
        <w:rPr>
          <w:rFonts w:cs="Times New Roman"/>
          <w:sz w:val="24"/>
          <w:szCs w:val="24"/>
          <w:lang w:val="en-US"/>
        </w:rPr>
        <w:t xml:space="preserve"> gull consuming pellets </w:t>
      </w:r>
      <w:r w:rsidR="00D66C63" w:rsidRPr="0099279C">
        <w:rPr>
          <w:rFonts w:cs="Times New Roman"/>
          <w:sz w:val="24"/>
          <w:szCs w:val="24"/>
          <w:lang w:val="en-US"/>
        </w:rPr>
        <w:t xml:space="preserve">given the result from the previous day. </w:t>
      </w:r>
      <w:r w:rsidR="00EB3290" w:rsidRPr="0099279C">
        <w:rPr>
          <w:rFonts w:cs="Times New Roman"/>
          <w:sz w:val="24"/>
          <w:szCs w:val="24"/>
          <w:lang w:val="en-US"/>
        </w:rPr>
        <w:t>Thus, c</w:t>
      </w:r>
      <w:r w:rsidR="00D66C63" w:rsidRPr="0099279C">
        <w:rPr>
          <w:rFonts w:cs="Times New Roman"/>
          <w:sz w:val="24"/>
          <w:szCs w:val="24"/>
          <w:lang w:val="en-US"/>
        </w:rPr>
        <w:t xml:space="preserve">onsumption of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previous day increases the probability of consuming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following day </w:t>
      </w:r>
      <w:r w:rsidR="001B076E">
        <w:rPr>
          <w:rFonts w:cs="Times New Roman"/>
          <w:sz w:val="24"/>
          <w:szCs w:val="24"/>
          <w:lang w:val="en-US"/>
        </w:rPr>
        <w:t>(i.e., to 90%)</w:t>
      </w:r>
      <w:r w:rsidR="00F95C6A">
        <w:rPr>
          <w:rFonts w:cs="Times New Roman"/>
          <w:sz w:val="24"/>
          <w:szCs w:val="24"/>
          <w:lang w:val="en-US"/>
        </w:rPr>
        <w:t>.</w:t>
      </w:r>
      <w:r w:rsidR="001B076E">
        <w:rPr>
          <w:rFonts w:cs="Times New Roman"/>
          <w:sz w:val="24"/>
          <w:szCs w:val="24"/>
          <w:lang w:val="en-US"/>
        </w:rPr>
        <w:t xml:space="preserve"> </w:t>
      </w:r>
      <w:r w:rsidR="00F95C6A">
        <w:rPr>
          <w:rFonts w:cs="Times New Roman"/>
          <w:sz w:val="24"/>
          <w:szCs w:val="24"/>
          <w:lang w:val="en-US"/>
        </w:rPr>
        <w:t>I</w:t>
      </w:r>
      <w:r w:rsidR="00BE50BB">
        <w:rPr>
          <w:rFonts w:cs="Times New Roman"/>
          <w:sz w:val="24"/>
          <w:szCs w:val="24"/>
          <w:lang w:val="en-US"/>
        </w:rPr>
        <w:t xml:space="preserve">f a </w:t>
      </w:r>
      <w:r w:rsidR="00F95C6A">
        <w:rPr>
          <w:rFonts w:cs="Times New Roman"/>
          <w:sz w:val="24"/>
          <w:szCs w:val="24"/>
          <w:lang w:val="en-US"/>
        </w:rPr>
        <w:t xml:space="preserve">gull </w:t>
      </w:r>
      <w:r w:rsidR="00BE50BB">
        <w:rPr>
          <w:rFonts w:cs="Times New Roman"/>
          <w:sz w:val="24"/>
          <w:szCs w:val="24"/>
          <w:lang w:val="en-US"/>
        </w:rPr>
        <w:t>does not consume any pellet</w:t>
      </w:r>
      <w:r w:rsidR="00F95C6A">
        <w:rPr>
          <w:rFonts w:cs="Times New Roman"/>
          <w:sz w:val="24"/>
          <w:szCs w:val="24"/>
          <w:lang w:val="en-US"/>
        </w:rPr>
        <w:t>s</w:t>
      </w:r>
      <w:r w:rsidR="00BE50BB">
        <w:rPr>
          <w:rFonts w:cs="Times New Roman"/>
          <w:sz w:val="24"/>
          <w:szCs w:val="24"/>
          <w:lang w:val="en-US"/>
        </w:rPr>
        <w:t xml:space="preserve"> on the previous day</w:t>
      </w:r>
      <w:r w:rsidR="00F95C6A">
        <w:rPr>
          <w:rFonts w:cs="Times New Roman"/>
          <w:sz w:val="24"/>
          <w:szCs w:val="24"/>
          <w:lang w:val="en-US"/>
        </w:rPr>
        <w:t>,</w:t>
      </w:r>
      <w:r w:rsidR="00BE50BB">
        <w:rPr>
          <w:rFonts w:cs="Times New Roman"/>
          <w:sz w:val="24"/>
          <w:szCs w:val="24"/>
          <w:lang w:val="en-US"/>
        </w:rPr>
        <w:t xml:space="preserve"> it will be less likely to consume pellet</w:t>
      </w:r>
      <w:r w:rsidR="00F95C6A">
        <w:rPr>
          <w:rFonts w:cs="Times New Roman"/>
          <w:sz w:val="24"/>
          <w:szCs w:val="24"/>
          <w:lang w:val="en-US"/>
        </w:rPr>
        <w:t>s</w:t>
      </w:r>
      <w:r w:rsidR="00BE50BB">
        <w:rPr>
          <w:rFonts w:cs="Times New Roman"/>
          <w:sz w:val="24"/>
          <w:szCs w:val="24"/>
          <w:lang w:val="en-US"/>
        </w:rPr>
        <w:t xml:space="preserve"> the following day</w:t>
      </w:r>
      <w:r w:rsidR="00D66C63" w:rsidRPr="0099279C">
        <w:rPr>
          <w:rFonts w:cs="Times New Roman"/>
          <w:sz w:val="24"/>
          <w:szCs w:val="24"/>
          <w:lang w:val="en-US"/>
        </w:rPr>
        <w:t xml:space="preserve">. The higher the </w:t>
      </w:r>
      <w:r w:rsidR="00076970">
        <w:rPr>
          <w:rFonts w:cs="Times New Roman"/>
          <w:sz w:val="24"/>
          <w:szCs w:val="24"/>
          <w:lang w:val="en-US"/>
        </w:rPr>
        <w:t>conditional probability</w:t>
      </w:r>
      <w:r w:rsidR="00D66C63" w:rsidRPr="0099279C">
        <w:rPr>
          <w:rFonts w:cs="Times New Roman"/>
          <w:sz w:val="24"/>
          <w:szCs w:val="24"/>
          <w:lang w:val="en-US"/>
        </w:rPr>
        <w:t xml:space="preserve">, the more likely </w:t>
      </w:r>
      <w:r w:rsidR="00EB3290" w:rsidRPr="0099279C">
        <w:rPr>
          <w:rFonts w:cs="Times New Roman"/>
          <w:sz w:val="24"/>
          <w:szCs w:val="24"/>
          <w:lang w:val="en-US"/>
        </w:rPr>
        <w:t xml:space="preserve">that </w:t>
      </w:r>
      <w:r w:rsidR="00D66C63" w:rsidRPr="0099279C">
        <w:rPr>
          <w:rFonts w:cs="Times New Roman"/>
          <w:sz w:val="24"/>
          <w:szCs w:val="24"/>
          <w:lang w:val="en-US"/>
        </w:rPr>
        <w:t>there will be long strings of days with pellet consumption and long strings of days without pellet consumption.</w:t>
      </w:r>
      <w:r w:rsidR="00421448" w:rsidRPr="0099279C">
        <w:rPr>
          <w:rFonts w:cs="Times New Roman"/>
          <w:sz w:val="24"/>
          <w:szCs w:val="24"/>
          <w:lang w:val="en-US"/>
        </w:rPr>
        <w:t xml:space="preserve"> </w:t>
      </w:r>
      <w:r w:rsidR="00B36512" w:rsidRPr="00EA7A21">
        <w:rPr>
          <w:rFonts w:cs="Times New Roman"/>
          <w:sz w:val="24"/>
          <w:szCs w:val="24"/>
          <w:lang w:val="en-US"/>
        </w:rPr>
        <w:t xml:space="preserve">There </w:t>
      </w:r>
      <w:r w:rsidR="00F95C6A">
        <w:rPr>
          <w:rFonts w:cs="Times New Roman"/>
          <w:sz w:val="24"/>
          <w:szCs w:val="24"/>
          <w:lang w:val="en-US"/>
        </w:rPr>
        <w:t>are</w:t>
      </w:r>
      <w:r w:rsidR="00B36512" w:rsidRPr="00EA7A21">
        <w:rPr>
          <w:rFonts w:cs="Times New Roman"/>
          <w:sz w:val="24"/>
          <w:szCs w:val="24"/>
          <w:lang w:val="en-US"/>
        </w:rPr>
        <w:t xml:space="preserve"> no scientific data available from the Farallones or elsewhere upon which to base this 90% input parameter, but it was considered best to </w:t>
      </w:r>
      <w:r w:rsidR="00F95C6A">
        <w:rPr>
          <w:rFonts w:cs="Times New Roman"/>
          <w:sz w:val="24"/>
          <w:szCs w:val="24"/>
          <w:lang w:val="en-US"/>
        </w:rPr>
        <w:t xml:space="preserve">conservatively </w:t>
      </w:r>
      <w:r w:rsidR="00B36512" w:rsidRPr="00EA7A21">
        <w:rPr>
          <w:rFonts w:cs="Times New Roman"/>
          <w:sz w:val="24"/>
          <w:szCs w:val="24"/>
          <w:lang w:val="en-US"/>
        </w:rPr>
        <w:t>assume a relatively high likelihood of a gull consuming bait on a day subsequent to initial bait</w:t>
      </w:r>
      <w:r w:rsidR="00F95C6A">
        <w:rPr>
          <w:rFonts w:cs="Times New Roman"/>
          <w:sz w:val="24"/>
          <w:szCs w:val="24"/>
          <w:lang w:val="en-US"/>
        </w:rPr>
        <w:t xml:space="preserve"> consumption</w:t>
      </w:r>
      <w:r w:rsidR="00B36512" w:rsidRPr="00EA7A21">
        <w:rPr>
          <w:rFonts w:cs="Times New Roman"/>
          <w:sz w:val="24"/>
          <w:szCs w:val="24"/>
          <w:lang w:val="en-US"/>
        </w:rPr>
        <w:t>. A rate of 90% was considered to be a high end estimate, given the high rate of learned foraging</w:t>
      </w:r>
      <w:r w:rsidR="0039240D">
        <w:rPr>
          <w:rFonts w:cs="Times New Roman"/>
          <w:sz w:val="24"/>
          <w:szCs w:val="24"/>
          <w:lang w:val="en-US"/>
        </w:rPr>
        <w:t xml:space="preserve"> behavior observed in Farallon western g</w:t>
      </w:r>
      <w:r w:rsidR="00B36512" w:rsidRPr="00EA7A21">
        <w:rPr>
          <w:rFonts w:cs="Times New Roman"/>
          <w:sz w:val="24"/>
          <w:szCs w:val="24"/>
          <w:lang w:val="en-US"/>
        </w:rPr>
        <w:t>ulls. In addi</w:t>
      </w:r>
      <w:r w:rsidR="0039240D">
        <w:rPr>
          <w:rFonts w:cs="Times New Roman"/>
          <w:sz w:val="24"/>
          <w:szCs w:val="24"/>
          <w:lang w:val="en-US"/>
        </w:rPr>
        <w:t>tion, the daily return rate of western g</w:t>
      </w:r>
      <w:r w:rsidR="00B36512" w:rsidRPr="00EA7A21">
        <w:rPr>
          <w:rFonts w:cs="Times New Roman"/>
          <w:sz w:val="24"/>
          <w:szCs w:val="24"/>
          <w:lang w:val="en-US"/>
        </w:rPr>
        <w:t>ulls on the Farallones may not be 100%</w:t>
      </w:r>
      <w:r w:rsidR="00F95C6A">
        <w:rPr>
          <w:rFonts w:cs="Times New Roman"/>
          <w:sz w:val="24"/>
          <w:szCs w:val="24"/>
          <w:lang w:val="en-US"/>
        </w:rPr>
        <w:t>.</w:t>
      </w:r>
      <w:r w:rsidR="00B36512" w:rsidRPr="00EA7A21">
        <w:rPr>
          <w:rFonts w:cs="Times New Roman"/>
          <w:sz w:val="24"/>
          <w:szCs w:val="24"/>
          <w:lang w:val="en-US"/>
        </w:rPr>
        <w:t xml:space="preserve"> </w:t>
      </w:r>
      <w:r w:rsidR="00F95C6A">
        <w:rPr>
          <w:rFonts w:cs="Times New Roman"/>
          <w:sz w:val="24"/>
          <w:szCs w:val="24"/>
          <w:lang w:val="en-US"/>
        </w:rPr>
        <w:t>I</w:t>
      </w:r>
      <w:r w:rsidR="00B36512" w:rsidRPr="00EA7A21">
        <w:rPr>
          <w:rFonts w:cs="Times New Roman"/>
          <w:sz w:val="24"/>
          <w:szCs w:val="24"/>
          <w:lang w:val="en-US"/>
        </w:rPr>
        <w:t xml:space="preserve">t is likely a relatively high value, due to lack of extreme daily </w:t>
      </w:r>
      <w:r w:rsidR="0039240D">
        <w:rPr>
          <w:rFonts w:cs="Times New Roman"/>
          <w:sz w:val="24"/>
          <w:szCs w:val="24"/>
          <w:lang w:val="en-US"/>
        </w:rPr>
        <w:t>migratory behavior observed in w</w:t>
      </w:r>
      <w:r w:rsidR="00B36512" w:rsidRPr="00EA7A21">
        <w:rPr>
          <w:rFonts w:cs="Times New Roman"/>
          <w:sz w:val="24"/>
          <w:szCs w:val="24"/>
          <w:lang w:val="en-US"/>
        </w:rPr>
        <w:t>estern</w:t>
      </w:r>
      <w:r w:rsidR="0039240D">
        <w:rPr>
          <w:rFonts w:cs="Times New Roman"/>
          <w:sz w:val="24"/>
          <w:szCs w:val="24"/>
          <w:lang w:val="en-US"/>
        </w:rPr>
        <w:t xml:space="preserve"> g</w:t>
      </w:r>
      <w:r w:rsidR="00B36512" w:rsidRPr="00EA7A21">
        <w:rPr>
          <w:rFonts w:cs="Times New Roman"/>
          <w:sz w:val="24"/>
          <w:szCs w:val="24"/>
          <w:lang w:val="en-US"/>
        </w:rPr>
        <w:t>ulls</w:t>
      </w:r>
      <w:r w:rsidR="0039240D">
        <w:rPr>
          <w:rFonts w:cs="Times New Roman"/>
          <w:sz w:val="24"/>
          <w:szCs w:val="24"/>
          <w:lang w:val="en-US"/>
        </w:rPr>
        <w:t>, as well as</w:t>
      </w:r>
      <w:r w:rsidR="00B36512" w:rsidRPr="00EA7A21">
        <w:rPr>
          <w:rFonts w:cs="Times New Roman"/>
          <w:sz w:val="24"/>
          <w:szCs w:val="24"/>
          <w:lang w:val="en-US"/>
        </w:rPr>
        <w:t xml:space="preserve"> observed movement of banded birds from this population.</w:t>
      </w:r>
    </w:p>
    <w:p w:rsidR="00B31A04" w:rsidRPr="0099279C" w:rsidRDefault="00415336" w:rsidP="00C12809">
      <w:pPr>
        <w:rPr>
          <w:rFonts w:cs="Times New Roman"/>
          <w:sz w:val="24"/>
          <w:szCs w:val="24"/>
          <w:lang w:val="en-US"/>
        </w:rPr>
      </w:pPr>
      <w:r w:rsidRPr="0099279C">
        <w:rPr>
          <w:rFonts w:cs="Times New Roman"/>
          <w:sz w:val="24"/>
          <w:szCs w:val="24"/>
          <w:lang w:val="en-US"/>
        </w:rPr>
        <w:t>In addition to determining whether a</w:t>
      </w:r>
      <w:r w:rsidR="00FE2215">
        <w:rPr>
          <w:rFonts w:cs="Times New Roman"/>
          <w:sz w:val="24"/>
          <w:szCs w:val="24"/>
          <w:lang w:val="en-US"/>
        </w:rPr>
        <w:t>n unhazed</w:t>
      </w:r>
      <w:r w:rsidRPr="0099279C">
        <w:rPr>
          <w:rFonts w:cs="Times New Roman"/>
          <w:sz w:val="24"/>
          <w:szCs w:val="24"/>
          <w:lang w:val="en-US"/>
        </w:rPr>
        <w:t xml:space="preserve"> gull feeds on pellets in each day of the model simulation, we need to determine the number of pellets consumed on days when consumption occurs. </w:t>
      </w:r>
      <w:r w:rsidR="009542A7" w:rsidRPr="0099279C">
        <w:rPr>
          <w:rFonts w:cs="Times New Roman"/>
          <w:sz w:val="24"/>
          <w:szCs w:val="24"/>
          <w:lang w:val="en-US"/>
        </w:rPr>
        <w:t xml:space="preserve">Observations during the SEFI trials in November, 2010 indicated that when pellets are readily available, </w:t>
      </w:r>
      <w:r w:rsidR="00FE2215">
        <w:rPr>
          <w:rFonts w:cs="Times New Roman"/>
          <w:sz w:val="24"/>
          <w:szCs w:val="24"/>
          <w:lang w:val="en-US"/>
        </w:rPr>
        <w:t xml:space="preserve">unhazed </w:t>
      </w:r>
      <w:r w:rsidR="009542A7" w:rsidRPr="0099279C">
        <w:rPr>
          <w:rFonts w:cs="Times New Roman"/>
          <w:sz w:val="24"/>
          <w:szCs w:val="24"/>
          <w:lang w:val="en-US"/>
        </w:rPr>
        <w:t xml:space="preserve">gulls are unlikely to consume just one pellet once consumption begins. </w:t>
      </w:r>
      <w:r w:rsidR="00561188" w:rsidRPr="0099279C">
        <w:rPr>
          <w:rFonts w:cs="Times New Roman"/>
          <w:sz w:val="24"/>
          <w:szCs w:val="24"/>
          <w:lang w:val="en-US"/>
        </w:rPr>
        <w:t xml:space="preserve">To determine the daily maximum number of pellets that could be consumed, we determined the number of pellets required to meet the metabolic needs of adult gulls. </w:t>
      </w:r>
      <w:r w:rsidR="009542A7" w:rsidRPr="0099279C">
        <w:rPr>
          <w:rFonts w:cs="Times New Roman"/>
          <w:sz w:val="24"/>
          <w:szCs w:val="24"/>
          <w:lang w:val="en-US"/>
        </w:rPr>
        <w:t xml:space="preserve">The metabolizeable energy in cereal grain baits consumed by birds is 14.0 kJ/g </w:t>
      </w:r>
      <w:proofErr w:type="gramStart"/>
      <w:r w:rsidR="009542A7" w:rsidRPr="0099279C">
        <w:rPr>
          <w:rFonts w:cs="Times New Roman"/>
          <w:sz w:val="24"/>
          <w:szCs w:val="24"/>
          <w:lang w:val="en-US"/>
        </w:rPr>
        <w:t>dw</w:t>
      </w:r>
      <w:proofErr w:type="gramEnd"/>
      <w:r w:rsidR="009542A7" w:rsidRPr="0099279C">
        <w:rPr>
          <w:rFonts w:cs="Times New Roman"/>
          <w:sz w:val="24"/>
          <w:szCs w:val="24"/>
          <w:lang w:val="en-US"/>
        </w:rPr>
        <w:t xml:space="preserve"> bait (Nagy, 1987). </w:t>
      </w:r>
      <w:r w:rsidR="00561188" w:rsidRPr="0099279C">
        <w:rPr>
          <w:rFonts w:cs="Times New Roman"/>
          <w:sz w:val="24"/>
          <w:szCs w:val="24"/>
          <w:lang w:val="en-US"/>
        </w:rPr>
        <w:t>Assuming a moisture content of 14% (Nagy, 1987) and a pellet mass of 1.1 g</w:t>
      </w:r>
      <w:r w:rsidR="001D3291">
        <w:rPr>
          <w:rFonts w:cs="Times New Roman"/>
          <w:sz w:val="24"/>
          <w:szCs w:val="24"/>
          <w:lang w:val="en-US"/>
        </w:rPr>
        <w:t xml:space="preserve"> as determined in SEFI field measurements of 100 placebo pellets</w:t>
      </w:r>
      <w:r w:rsidR="00561188" w:rsidRPr="0099279C">
        <w:rPr>
          <w:rFonts w:cs="Times New Roman"/>
          <w:sz w:val="24"/>
          <w:szCs w:val="24"/>
          <w:lang w:val="en-US"/>
        </w:rPr>
        <w:t xml:space="preserve">, the metabolizeable energy in each pellet is 13 kJ/pellet ww. </w:t>
      </w:r>
      <w:r w:rsidR="009542A7" w:rsidRPr="0099279C">
        <w:rPr>
          <w:rFonts w:cs="Times New Roman"/>
          <w:sz w:val="24"/>
          <w:szCs w:val="24"/>
          <w:lang w:val="en-US"/>
        </w:rPr>
        <w:t xml:space="preserve">Adult western gulls require approximately </w:t>
      </w:r>
      <w:r w:rsidR="009649B7" w:rsidRPr="0099279C">
        <w:rPr>
          <w:rFonts w:cs="Times New Roman"/>
          <w:sz w:val="24"/>
          <w:szCs w:val="24"/>
          <w:lang w:val="en-US"/>
        </w:rPr>
        <w:t>12 (females) to 14 (males) kJ/hour for normal maintenance during the non-breeding season (Pierotti and Annett</w:t>
      </w:r>
      <w:r w:rsidR="002C5BE8" w:rsidRPr="0099279C">
        <w:rPr>
          <w:rFonts w:cs="Times New Roman"/>
          <w:sz w:val="24"/>
          <w:szCs w:val="24"/>
          <w:lang w:val="en-US"/>
        </w:rPr>
        <w:t>,</w:t>
      </w:r>
      <w:r w:rsidR="009649B7" w:rsidRPr="0099279C">
        <w:rPr>
          <w:rFonts w:cs="Times New Roman"/>
          <w:sz w:val="24"/>
          <w:szCs w:val="24"/>
          <w:lang w:val="en-US"/>
        </w:rPr>
        <w:t xml:space="preserve"> 1995). </w:t>
      </w:r>
      <w:r w:rsidR="00561188" w:rsidRPr="0099279C">
        <w:rPr>
          <w:rFonts w:cs="Times New Roman"/>
          <w:sz w:val="24"/>
          <w:szCs w:val="24"/>
          <w:lang w:val="en-US"/>
        </w:rPr>
        <w:t>Thus</w:t>
      </w:r>
      <w:r w:rsidR="009649B7" w:rsidRPr="0099279C">
        <w:rPr>
          <w:rFonts w:cs="Times New Roman"/>
          <w:sz w:val="24"/>
          <w:szCs w:val="24"/>
          <w:lang w:val="en-US"/>
        </w:rPr>
        <w:t>, daily energy requirements are 288 and 336 kJ/day for female and male western gulls, respectively</w:t>
      </w:r>
      <w:r w:rsidR="00561188" w:rsidRPr="0099279C">
        <w:rPr>
          <w:rFonts w:cs="Times New Roman"/>
          <w:sz w:val="24"/>
          <w:szCs w:val="24"/>
          <w:lang w:val="en-US"/>
        </w:rPr>
        <w:t>, similar to the values estimated for herring gulls (Pierotti and Annett, 1991; EPA, 1993)</w:t>
      </w:r>
      <w:r w:rsidR="009649B7" w:rsidRPr="0099279C">
        <w:rPr>
          <w:rFonts w:cs="Times New Roman"/>
          <w:sz w:val="24"/>
          <w:szCs w:val="24"/>
          <w:lang w:val="en-US"/>
        </w:rPr>
        <w:t xml:space="preserve">. </w:t>
      </w:r>
      <w:r w:rsidR="00A214FE" w:rsidRPr="0099279C">
        <w:rPr>
          <w:rFonts w:cs="Times New Roman"/>
          <w:sz w:val="24"/>
          <w:szCs w:val="24"/>
          <w:lang w:val="en-US"/>
        </w:rPr>
        <w:t>The</w:t>
      </w:r>
      <w:r w:rsidR="00561188" w:rsidRPr="0099279C">
        <w:rPr>
          <w:rFonts w:cs="Times New Roman"/>
          <w:sz w:val="24"/>
          <w:szCs w:val="24"/>
          <w:lang w:val="en-US"/>
        </w:rPr>
        <w:t xml:space="preserve"> upper bound for pellets consumed per day to meet daily energetic requirements for male western gulls would be 26 (336/13 = 26)</w:t>
      </w:r>
      <w:r w:rsidR="009542A7" w:rsidRPr="0099279C">
        <w:rPr>
          <w:rFonts w:cs="Times New Roman"/>
          <w:sz w:val="24"/>
          <w:szCs w:val="24"/>
          <w:lang w:val="en-US"/>
        </w:rPr>
        <w:t>.</w:t>
      </w:r>
      <w:r w:rsidR="00837D5F" w:rsidRPr="0099279C">
        <w:rPr>
          <w:rFonts w:cs="Times New Roman"/>
          <w:sz w:val="24"/>
          <w:szCs w:val="24"/>
          <w:lang w:val="en-US"/>
        </w:rPr>
        <w:t xml:space="preserve"> We rounded this figure to 30 pellets/day to be conservative and because gulls may consume more food than required to meet </w:t>
      </w:r>
      <w:r w:rsidR="00D036B7" w:rsidRPr="0099279C">
        <w:rPr>
          <w:rFonts w:cs="Times New Roman"/>
          <w:sz w:val="24"/>
          <w:szCs w:val="24"/>
          <w:lang w:val="en-US"/>
        </w:rPr>
        <w:t xml:space="preserve">typical </w:t>
      </w:r>
      <w:r w:rsidR="00837D5F" w:rsidRPr="0099279C">
        <w:rPr>
          <w:rFonts w:cs="Times New Roman"/>
          <w:sz w:val="24"/>
          <w:szCs w:val="24"/>
          <w:lang w:val="en-US"/>
        </w:rPr>
        <w:t xml:space="preserve">daily energetic requirements on some days. </w:t>
      </w:r>
      <w:r w:rsidR="00D036B7" w:rsidRPr="0099279C">
        <w:rPr>
          <w:rFonts w:cs="Times New Roman"/>
          <w:sz w:val="24"/>
          <w:szCs w:val="24"/>
          <w:lang w:val="en-US"/>
        </w:rPr>
        <w:t>A Poisson distribution with a rate of 15 for daily number of pellets consumed results in a distribution for which low (e.g., 1-3 pellets/day) and high values (i.e., 28-30 pellets/day) are rare events</w:t>
      </w:r>
      <w:r w:rsidR="00A214FE" w:rsidRPr="0099279C">
        <w:rPr>
          <w:rFonts w:cs="Times New Roman"/>
          <w:sz w:val="24"/>
          <w:szCs w:val="24"/>
          <w:lang w:val="en-US"/>
        </w:rPr>
        <w:t>, but values in between are more common</w:t>
      </w:r>
      <w:r w:rsidR="00D036B7" w:rsidRPr="0099279C">
        <w:rPr>
          <w:rFonts w:cs="Times New Roman"/>
          <w:sz w:val="24"/>
          <w:szCs w:val="24"/>
          <w:lang w:val="en-US"/>
        </w:rPr>
        <w:t xml:space="preserve">. </w:t>
      </w:r>
    </w:p>
    <w:p w:rsidR="00EB3290" w:rsidRPr="0099279C" w:rsidRDefault="00EB3290" w:rsidP="00C12809">
      <w:pPr>
        <w:rPr>
          <w:rFonts w:cs="Times New Roman"/>
          <w:sz w:val="24"/>
          <w:szCs w:val="24"/>
          <w:lang w:val="en-US"/>
        </w:rPr>
      </w:pPr>
      <w:r w:rsidRPr="0099279C">
        <w:rPr>
          <w:rFonts w:cs="Times New Roman"/>
          <w:sz w:val="24"/>
          <w:szCs w:val="24"/>
          <w:lang w:val="en-US"/>
        </w:rPr>
        <w:t xml:space="preserve">Finally, the western gull risk model assumes a </w:t>
      </w:r>
      <w:r w:rsidR="008F0994" w:rsidRPr="0099279C">
        <w:rPr>
          <w:rFonts w:cs="Times New Roman"/>
          <w:sz w:val="24"/>
          <w:szCs w:val="24"/>
          <w:lang w:val="en-US"/>
        </w:rPr>
        <w:t>1</w:t>
      </w:r>
      <w:r w:rsidRPr="0099279C">
        <w:rPr>
          <w:rFonts w:cs="Times New Roman"/>
          <w:sz w:val="24"/>
          <w:szCs w:val="24"/>
          <w:lang w:val="en-US"/>
        </w:rPr>
        <w:t xml:space="preserve"> day lag time for consuming pellets because the </w:t>
      </w:r>
      <w:r w:rsidR="00BE7C91">
        <w:rPr>
          <w:rFonts w:cs="Times New Roman"/>
          <w:sz w:val="24"/>
          <w:szCs w:val="24"/>
          <w:lang w:val="en-US"/>
        </w:rPr>
        <w:t>SFI</w:t>
      </w:r>
      <w:r w:rsidRPr="0099279C">
        <w:rPr>
          <w:rFonts w:cs="Times New Roman"/>
          <w:sz w:val="24"/>
          <w:szCs w:val="24"/>
          <w:lang w:val="en-US"/>
        </w:rPr>
        <w:t xml:space="preserve"> trials in November demonstrated that pellet consumption did not begin until the day after application.</w:t>
      </w:r>
    </w:p>
    <w:p w:rsidR="00EB3290" w:rsidRPr="0099279C" w:rsidRDefault="00EB3290" w:rsidP="00101022">
      <w:pPr>
        <w:pStyle w:val="Heading3"/>
      </w:pPr>
      <w:bookmarkStart w:id="26" w:name="_Toc343007928"/>
      <w:r w:rsidRPr="0099279C">
        <w:t>Secondary Exposure Route Variables</w:t>
      </w:r>
      <w:bookmarkEnd w:id="26"/>
    </w:p>
    <w:p w:rsidR="00EB3290" w:rsidRPr="0099279C" w:rsidRDefault="006E16ED" w:rsidP="00EB3290">
      <w:pPr>
        <w:rPr>
          <w:rFonts w:cs="Times New Roman"/>
          <w:sz w:val="24"/>
          <w:szCs w:val="24"/>
          <w:lang w:val="en-US"/>
        </w:rPr>
      </w:pPr>
      <w:r w:rsidRPr="0099279C">
        <w:rPr>
          <w:rFonts w:cs="Times New Roman"/>
          <w:sz w:val="24"/>
          <w:szCs w:val="24"/>
          <w:lang w:val="en-US"/>
        </w:rPr>
        <w:t xml:space="preserve">Birds have the potential to consume live rodents or carrion containing brodifacoum </w:t>
      </w:r>
      <w:r w:rsidR="006969F7">
        <w:rPr>
          <w:rFonts w:cs="Times New Roman"/>
          <w:sz w:val="24"/>
          <w:szCs w:val="24"/>
          <w:lang w:val="en-US"/>
        </w:rPr>
        <w:t xml:space="preserve">or diphacinone </w:t>
      </w:r>
      <w:r w:rsidRPr="0099279C">
        <w:rPr>
          <w:rFonts w:cs="Times New Roman"/>
          <w:sz w:val="24"/>
          <w:szCs w:val="24"/>
          <w:lang w:val="en-US"/>
        </w:rPr>
        <w:t>residues (Eason et al., 2002; Erickson and Urban, 200</w:t>
      </w:r>
      <w:r w:rsidR="002C5BE8" w:rsidRPr="0099279C">
        <w:rPr>
          <w:rFonts w:cs="Times New Roman"/>
          <w:sz w:val="24"/>
          <w:szCs w:val="24"/>
          <w:lang w:val="en-US"/>
        </w:rPr>
        <w:t>4</w:t>
      </w:r>
      <w:r w:rsidRPr="0099279C">
        <w:rPr>
          <w:rFonts w:cs="Times New Roman"/>
          <w:sz w:val="24"/>
          <w:szCs w:val="24"/>
          <w:lang w:val="en-US"/>
        </w:rPr>
        <w:t>; Bowie and Ross, 2006).</w:t>
      </w:r>
      <w:r w:rsidR="00F10D49" w:rsidRPr="0099279C">
        <w:rPr>
          <w:rFonts w:cs="Times New Roman"/>
          <w:sz w:val="24"/>
          <w:szCs w:val="24"/>
          <w:lang w:val="en-US"/>
        </w:rPr>
        <w:t xml:space="preserve"> As with consumption of pellets, the western gull risk model estimated daily probability of consuming mice and, should consumption occur, the number of mice consumed per day. </w:t>
      </w:r>
    </w:p>
    <w:p w:rsidR="0005548A" w:rsidRDefault="00D03D54" w:rsidP="00EB3290">
      <w:pPr>
        <w:rPr>
          <w:rFonts w:cs="Times New Roman"/>
          <w:sz w:val="24"/>
          <w:szCs w:val="24"/>
          <w:lang w:val="en-US"/>
        </w:rPr>
      </w:pPr>
      <w:r w:rsidRPr="0099279C">
        <w:rPr>
          <w:rFonts w:cs="Times New Roman"/>
          <w:sz w:val="24"/>
          <w:szCs w:val="24"/>
          <w:lang w:val="en-US"/>
        </w:rPr>
        <w:t xml:space="preserve">Few data are available to determine the daily probability of consuming mice by western gulls. Stomach contents analyses show that consumption of rodents by gulls is low and typically in the range of 0-2% (Ainley et al., 1990; Pierotti and Annett, 1995). </w:t>
      </w:r>
      <w:r w:rsidR="00A12698" w:rsidRPr="0099279C">
        <w:rPr>
          <w:rFonts w:cs="Times New Roman"/>
          <w:sz w:val="24"/>
          <w:szCs w:val="24"/>
          <w:lang w:val="en-US"/>
        </w:rPr>
        <w:t xml:space="preserve">However, </w:t>
      </w:r>
      <w:r w:rsidR="00FE2215">
        <w:rPr>
          <w:rFonts w:cs="Times New Roman"/>
          <w:sz w:val="24"/>
          <w:szCs w:val="24"/>
          <w:lang w:val="en-US"/>
        </w:rPr>
        <w:t xml:space="preserve">unhazed </w:t>
      </w:r>
      <w:r w:rsidR="00A12698" w:rsidRPr="0099279C">
        <w:rPr>
          <w:rFonts w:cs="Times New Roman"/>
          <w:sz w:val="24"/>
          <w:szCs w:val="24"/>
          <w:lang w:val="en-US"/>
        </w:rPr>
        <w:t xml:space="preserve">gulls are expected to change their behavior following </w:t>
      </w:r>
      <w:r w:rsidR="006969F7">
        <w:rPr>
          <w:rFonts w:cs="Times New Roman"/>
          <w:sz w:val="24"/>
          <w:szCs w:val="24"/>
          <w:lang w:val="en-US"/>
        </w:rPr>
        <w:t>rodenticide</w:t>
      </w:r>
      <w:r w:rsidR="006969F7" w:rsidRPr="0099279C">
        <w:rPr>
          <w:rFonts w:cs="Times New Roman"/>
          <w:sz w:val="24"/>
          <w:szCs w:val="24"/>
          <w:lang w:val="en-US"/>
        </w:rPr>
        <w:t xml:space="preserve"> </w:t>
      </w:r>
      <w:r w:rsidR="00A12698" w:rsidRPr="0099279C">
        <w:rPr>
          <w:rFonts w:cs="Times New Roman"/>
          <w:sz w:val="24"/>
          <w:szCs w:val="24"/>
          <w:lang w:val="en-US"/>
        </w:rPr>
        <w:t xml:space="preserve">application on </w:t>
      </w:r>
      <w:r w:rsidR="00BE7C91">
        <w:rPr>
          <w:rFonts w:cs="Times New Roman"/>
          <w:sz w:val="24"/>
          <w:szCs w:val="24"/>
          <w:lang w:val="en-US"/>
        </w:rPr>
        <w:t>SFI</w:t>
      </w:r>
      <w:r w:rsidR="00A12698" w:rsidRPr="0099279C">
        <w:rPr>
          <w:rFonts w:cs="Times New Roman"/>
          <w:sz w:val="24"/>
          <w:szCs w:val="24"/>
          <w:lang w:val="en-US"/>
        </w:rPr>
        <w:t xml:space="preserve"> because intoxicated or dead mice are easier to capture. Scavenging of </w:t>
      </w:r>
      <w:r w:rsidR="008222FA">
        <w:rPr>
          <w:rFonts w:cs="Times New Roman"/>
          <w:sz w:val="24"/>
          <w:szCs w:val="24"/>
          <w:lang w:val="en-US"/>
        </w:rPr>
        <w:t xml:space="preserve">trapped </w:t>
      </w:r>
      <w:r w:rsidR="00A12698" w:rsidRPr="0099279C">
        <w:rPr>
          <w:rFonts w:cs="Times New Roman"/>
          <w:sz w:val="24"/>
          <w:szCs w:val="24"/>
          <w:lang w:val="en-US"/>
        </w:rPr>
        <w:t>mice was observed during the</w:t>
      </w:r>
      <w:r w:rsidR="004F77CE" w:rsidRPr="0099279C">
        <w:rPr>
          <w:rFonts w:cs="Times New Roman"/>
          <w:sz w:val="24"/>
          <w:szCs w:val="24"/>
          <w:lang w:val="en-US"/>
        </w:rPr>
        <w:t xml:space="preserve"> </w:t>
      </w:r>
      <w:r w:rsidR="00BE7C91">
        <w:rPr>
          <w:rFonts w:cs="Times New Roman"/>
          <w:sz w:val="24"/>
          <w:szCs w:val="24"/>
          <w:lang w:val="en-US"/>
        </w:rPr>
        <w:t>SFI</w:t>
      </w:r>
      <w:r w:rsidR="004F77CE" w:rsidRPr="0099279C">
        <w:rPr>
          <w:rFonts w:cs="Times New Roman"/>
          <w:sz w:val="24"/>
          <w:szCs w:val="24"/>
          <w:lang w:val="en-US"/>
        </w:rPr>
        <w:t xml:space="preserve"> trials in November, 2010</w:t>
      </w:r>
      <w:r w:rsidR="006969F7">
        <w:rPr>
          <w:rFonts w:cs="Times New Roman"/>
          <w:sz w:val="24"/>
          <w:szCs w:val="24"/>
          <w:lang w:val="en-US"/>
        </w:rPr>
        <w:t xml:space="preserve">, </w:t>
      </w:r>
      <w:r w:rsidR="00320310">
        <w:rPr>
          <w:rFonts w:cs="Times New Roman"/>
          <w:sz w:val="24"/>
          <w:szCs w:val="24"/>
          <w:lang w:val="en-US"/>
        </w:rPr>
        <w:t>with a maximum estimated scavenging rate of 25%, although most of this scavenging was likely done by other mice. Some of the mouse carcasses could have been scavenged by gulls, however</w:t>
      </w:r>
      <w:r w:rsidR="006C3A23">
        <w:rPr>
          <w:rFonts w:cs="Times New Roman"/>
          <w:sz w:val="24"/>
          <w:szCs w:val="24"/>
          <w:lang w:val="en-US"/>
        </w:rPr>
        <w:t>, though it is also possible that none of the mouse carcasses were scavenged by gulls</w:t>
      </w:r>
      <w:r w:rsidR="00320310">
        <w:rPr>
          <w:rFonts w:cs="Times New Roman"/>
          <w:sz w:val="24"/>
          <w:szCs w:val="24"/>
          <w:lang w:val="en-US"/>
        </w:rPr>
        <w:t xml:space="preserve"> (</w:t>
      </w:r>
      <w:r w:rsidR="00320310" w:rsidRPr="0099279C">
        <w:rPr>
          <w:rFonts w:cs="Times New Roman"/>
          <w:sz w:val="24"/>
          <w:szCs w:val="24"/>
          <w:lang w:val="en-US"/>
        </w:rPr>
        <w:t xml:space="preserve">Grout, </w:t>
      </w:r>
      <w:r w:rsidR="00320310">
        <w:rPr>
          <w:rFonts w:cs="Times New Roman"/>
          <w:sz w:val="24"/>
          <w:szCs w:val="24"/>
          <w:lang w:val="en-US"/>
        </w:rPr>
        <w:t>2012</w:t>
      </w:r>
      <w:r w:rsidR="006C3A23">
        <w:rPr>
          <w:rFonts w:cs="Times New Roman"/>
          <w:sz w:val="24"/>
          <w:szCs w:val="24"/>
          <w:lang w:val="en-US"/>
        </w:rPr>
        <w:t>; Pott and Grout, 2012</w:t>
      </w:r>
      <w:r w:rsidR="00320310">
        <w:rPr>
          <w:rFonts w:cs="Times New Roman"/>
          <w:sz w:val="24"/>
          <w:szCs w:val="24"/>
          <w:lang w:val="en-US"/>
        </w:rPr>
        <w:t>)</w:t>
      </w:r>
      <w:r w:rsidR="00320310" w:rsidRPr="0099279C">
        <w:rPr>
          <w:rFonts w:cs="Times New Roman"/>
          <w:sz w:val="24"/>
          <w:szCs w:val="24"/>
          <w:lang w:val="en-US"/>
        </w:rPr>
        <w:t xml:space="preserve">. </w:t>
      </w:r>
      <w:r w:rsidR="004F77CE" w:rsidRPr="0099279C">
        <w:rPr>
          <w:rFonts w:cs="Times New Roman"/>
          <w:sz w:val="24"/>
          <w:szCs w:val="24"/>
          <w:lang w:val="en-US"/>
        </w:rPr>
        <w:t xml:space="preserve">Given the </w:t>
      </w:r>
      <w:r w:rsidR="006969F7">
        <w:rPr>
          <w:rFonts w:cs="Times New Roman"/>
          <w:sz w:val="24"/>
          <w:szCs w:val="24"/>
          <w:lang w:val="en-US"/>
        </w:rPr>
        <w:t>range of 0-25</w:t>
      </w:r>
      <w:r w:rsidR="004F77CE" w:rsidRPr="0099279C">
        <w:rPr>
          <w:rFonts w:cs="Times New Roman"/>
          <w:sz w:val="24"/>
          <w:szCs w:val="24"/>
          <w:lang w:val="en-US"/>
        </w:rPr>
        <w:t>% of rodents in the diet</w:t>
      </w:r>
      <w:r w:rsidR="00FE2215">
        <w:rPr>
          <w:rFonts w:cs="Times New Roman"/>
          <w:sz w:val="24"/>
          <w:szCs w:val="24"/>
          <w:lang w:val="en-US"/>
        </w:rPr>
        <w:t xml:space="preserve"> of unhazed gulls</w:t>
      </w:r>
      <w:r w:rsidR="004F77CE" w:rsidRPr="0099279C">
        <w:rPr>
          <w:rFonts w:cs="Times New Roman"/>
          <w:sz w:val="24"/>
          <w:szCs w:val="24"/>
          <w:lang w:val="en-US"/>
        </w:rPr>
        <w:t xml:space="preserve">, we selected </w:t>
      </w:r>
      <w:r w:rsidR="006969F7">
        <w:rPr>
          <w:rFonts w:cs="Times New Roman"/>
          <w:sz w:val="24"/>
          <w:szCs w:val="24"/>
          <w:lang w:val="en-US"/>
        </w:rPr>
        <w:t>an average probability</w:t>
      </w:r>
      <w:r w:rsidR="004F77CE" w:rsidRPr="0099279C">
        <w:rPr>
          <w:rFonts w:cs="Times New Roman"/>
          <w:sz w:val="24"/>
          <w:szCs w:val="24"/>
          <w:lang w:val="en-US"/>
        </w:rPr>
        <w:t xml:space="preserve"> of </w:t>
      </w:r>
      <w:r w:rsidR="006969F7">
        <w:rPr>
          <w:rFonts w:cs="Times New Roman"/>
          <w:sz w:val="24"/>
          <w:szCs w:val="24"/>
          <w:lang w:val="en-US"/>
        </w:rPr>
        <w:t>12.5</w:t>
      </w:r>
      <w:r w:rsidR="004F77CE" w:rsidRPr="0099279C">
        <w:rPr>
          <w:rFonts w:cs="Times New Roman"/>
          <w:sz w:val="24"/>
          <w:szCs w:val="24"/>
          <w:lang w:val="en-US"/>
        </w:rPr>
        <w:t>% for daily probability of consuming mice when they are intoxicated and readily available. A binomial distribution was assumed for this variable for each day of the model simulation.</w:t>
      </w:r>
    </w:p>
    <w:p w:rsidR="004F77CE" w:rsidRPr="0099279C" w:rsidRDefault="00632233" w:rsidP="00EB3290">
      <w:pPr>
        <w:rPr>
          <w:rFonts w:cs="Times New Roman"/>
          <w:sz w:val="24"/>
          <w:szCs w:val="24"/>
          <w:lang w:val="en-US"/>
        </w:rPr>
      </w:pPr>
      <w:r w:rsidRPr="0099279C">
        <w:rPr>
          <w:rFonts w:cs="Times New Roman"/>
          <w:sz w:val="24"/>
          <w:szCs w:val="24"/>
          <w:lang w:val="en-US"/>
        </w:rPr>
        <w:t xml:space="preserve">The availability of mice for consumption by western gulls declines following exposure to brodifacoum. In a study by Fisher (2009), rats exposed to brodifacoum in their diet showed few symptoms for the first 5 days following initial exposure after which symptoms began to appear. All rats died 6-13 days following initial exposure. </w:t>
      </w:r>
      <w:r w:rsidR="00386296" w:rsidRPr="0099279C">
        <w:rPr>
          <w:rFonts w:cs="Times New Roman"/>
          <w:sz w:val="24"/>
          <w:szCs w:val="24"/>
          <w:lang w:val="en-US"/>
        </w:rPr>
        <w:t xml:space="preserve">Eighty-seven to 100% of rodents </w:t>
      </w:r>
      <w:r w:rsidR="00FE103F" w:rsidRPr="0099279C">
        <w:rPr>
          <w:rFonts w:cs="Times New Roman"/>
          <w:sz w:val="24"/>
          <w:szCs w:val="24"/>
          <w:lang w:val="en-US"/>
        </w:rPr>
        <w:t>generally retreat</w:t>
      </w:r>
      <w:r w:rsidR="00AD44FF">
        <w:rPr>
          <w:rFonts w:cs="Times New Roman"/>
          <w:sz w:val="24"/>
          <w:szCs w:val="24"/>
          <w:lang w:val="en-US"/>
        </w:rPr>
        <w:t>ed</w:t>
      </w:r>
      <w:r w:rsidR="00FE103F" w:rsidRPr="0099279C">
        <w:rPr>
          <w:rFonts w:cs="Times New Roman"/>
          <w:sz w:val="24"/>
          <w:szCs w:val="24"/>
          <w:lang w:val="en-US"/>
        </w:rPr>
        <w:t xml:space="preserve"> to burrows to succumb following onset of symptoms stemming from exposure to brodifacoum (Taylor, 1993; </w:t>
      </w:r>
      <w:r w:rsidR="00386296" w:rsidRPr="0099279C">
        <w:rPr>
          <w:rFonts w:cs="Times New Roman"/>
          <w:sz w:val="24"/>
          <w:szCs w:val="24"/>
          <w:lang w:val="en-US"/>
        </w:rPr>
        <w:t xml:space="preserve">Howald, 1997; </w:t>
      </w:r>
      <w:r w:rsidR="00FE103F" w:rsidRPr="0099279C">
        <w:rPr>
          <w:rFonts w:cs="Times New Roman"/>
          <w:sz w:val="24"/>
          <w:szCs w:val="24"/>
          <w:lang w:val="en-US"/>
        </w:rPr>
        <w:t xml:space="preserve">Buckalew et al., 2008). These mice would not be available for consumption by </w:t>
      </w:r>
      <w:r w:rsidR="00FE2215">
        <w:rPr>
          <w:rFonts w:cs="Times New Roman"/>
          <w:sz w:val="24"/>
          <w:szCs w:val="24"/>
          <w:lang w:val="en-US"/>
        </w:rPr>
        <w:t xml:space="preserve">unhazed </w:t>
      </w:r>
      <w:r w:rsidR="00FE103F" w:rsidRPr="0099279C">
        <w:rPr>
          <w:rFonts w:cs="Times New Roman"/>
          <w:sz w:val="24"/>
          <w:szCs w:val="24"/>
          <w:lang w:val="en-US"/>
        </w:rPr>
        <w:t>western gulls</w:t>
      </w:r>
      <w:r w:rsidR="00386296" w:rsidRPr="0099279C">
        <w:rPr>
          <w:rFonts w:cs="Times New Roman"/>
          <w:sz w:val="24"/>
          <w:szCs w:val="24"/>
          <w:lang w:val="en-US"/>
        </w:rPr>
        <w:t xml:space="preserve"> on </w:t>
      </w:r>
      <w:r w:rsidR="00BE7C91">
        <w:rPr>
          <w:rFonts w:cs="Times New Roman"/>
          <w:sz w:val="24"/>
          <w:szCs w:val="24"/>
          <w:lang w:val="en-US"/>
        </w:rPr>
        <w:t>SFI</w:t>
      </w:r>
      <w:r w:rsidR="00FE103F" w:rsidRPr="0099279C">
        <w:rPr>
          <w:rFonts w:cs="Times New Roman"/>
          <w:sz w:val="24"/>
          <w:szCs w:val="24"/>
          <w:lang w:val="en-US"/>
        </w:rPr>
        <w:t>.</w:t>
      </w:r>
      <w:r w:rsidR="000A1502" w:rsidRPr="0099279C">
        <w:rPr>
          <w:rFonts w:cs="Times New Roman"/>
          <w:sz w:val="24"/>
          <w:szCs w:val="24"/>
          <w:lang w:val="en-US"/>
        </w:rPr>
        <w:t xml:space="preserve"> </w:t>
      </w:r>
      <w:r w:rsidR="00386296" w:rsidRPr="0099279C">
        <w:rPr>
          <w:rFonts w:cs="Times New Roman"/>
          <w:sz w:val="24"/>
          <w:szCs w:val="24"/>
          <w:lang w:val="en-US"/>
        </w:rPr>
        <w:t>We used the T</w:t>
      </w:r>
      <w:r w:rsidR="00B52193" w:rsidRPr="0099279C">
        <w:rPr>
          <w:rFonts w:cs="Times New Roman"/>
          <w:sz w:val="24"/>
          <w:szCs w:val="24"/>
          <w:lang w:val="en-US"/>
        </w:rPr>
        <w:t>ri</w:t>
      </w:r>
      <w:r w:rsidR="00386296" w:rsidRPr="0099279C">
        <w:rPr>
          <w:rFonts w:cs="Times New Roman"/>
          <w:sz w:val="24"/>
          <w:szCs w:val="24"/>
          <w:lang w:val="en-US"/>
        </w:rPr>
        <w:t xml:space="preserve">al 3 data from Fisher (2009) and </w:t>
      </w:r>
      <w:r w:rsidR="006969F7">
        <w:rPr>
          <w:rFonts w:cs="Times New Roman"/>
          <w:sz w:val="24"/>
          <w:szCs w:val="24"/>
          <w:lang w:val="en-US"/>
        </w:rPr>
        <w:t>the</w:t>
      </w:r>
      <w:r w:rsidR="00386296" w:rsidRPr="0099279C">
        <w:rPr>
          <w:rFonts w:cs="Times New Roman"/>
          <w:sz w:val="24"/>
          <w:szCs w:val="24"/>
          <w:lang w:val="en-US"/>
        </w:rPr>
        <w:t xml:space="preserve"> worst case value </w:t>
      </w:r>
      <w:r w:rsidR="006969F7">
        <w:rPr>
          <w:rFonts w:cs="Times New Roman"/>
          <w:sz w:val="24"/>
          <w:szCs w:val="24"/>
          <w:lang w:val="en-US"/>
        </w:rPr>
        <w:t xml:space="preserve">of </w:t>
      </w:r>
      <w:r w:rsidR="00386296" w:rsidRPr="0099279C">
        <w:rPr>
          <w:rFonts w:cs="Times New Roman"/>
          <w:sz w:val="24"/>
          <w:szCs w:val="24"/>
          <w:lang w:val="en-US"/>
        </w:rPr>
        <w:t>87</w:t>
      </w:r>
      <w:r w:rsidR="006969F7">
        <w:rPr>
          <w:rFonts w:cs="Times New Roman"/>
          <w:sz w:val="24"/>
          <w:szCs w:val="24"/>
          <w:lang w:val="en-US"/>
        </w:rPr>
        <w:t>%</w:t>
      </w:r>
      <w:r w:rsidR="00386296" w:rsidRPr="0099279C">
        <w:rPr>
          <w:rFonts w:cs="Times New Roman"/>
          <w:sz w:val="24"/>
          <w:szCs w:val="24"/>
          <w:lang w:val="en-US"/>
        </w:rPr>
        <w:t xml:space="preserve"> for mice retreating to burrows to estimate the proportion of the mouse population available for consumption on </w:t>
      </w:r>
      <w:r w:rsidR="00BE7C91">
        <w:rPr>
          <w:rFonts w:cs="Times New Roman"/>
          <w:sz w:val="24"/>
          <w:szCs w:val="24"/>
          <w:lang w:val="en-US"/>
        </w:rPr>
        <w:t>SFI</w:t>
      </w:r>
      <w:r w:rsidR="00386296" w:rsidRPr="0099279C">
        <w:rPr>
          <w:rFonts w:cs="Times New Roman"/>
          <w:sz w:val="24"/>
          <w:szCs w:val="24"/>
          <w:lang w:val="en-US"/>
        </w:rPr>
        <w:t xml:space="preserve"> as a fraction of </w:t>
      </w:r>
      <w:r w:rsidR="00B52193" w:rsidRPr="0099279C">
        <w:rPr>
          <w:rFonts w:cs="Times New Roman"/>
          <w:sz w:val="24"/>
          <w:szCs w:val="24"/>
          <w:lang w:val="en-US"/>
        </w:rPr>
        <w:t xml:space="preserve">pre-exposure abundance. Based on data from Fisher (2009), symptoms were assumed to precede death by 2 days. The fitted regression model for the </w:t>
      </w:r>
      <w:r w:rsidR="00773755">
        <w:rPr>
          <w:rFonts w:cs="Times New Roman"/>
          <w:sz w:val="24"/>
          <w:szCs w:val="24"/>
          <w:lang w:val="en-US"/>
        </w:rPr>
        <w:t>worst</w:t>
      </w:r>
      <w:r w:rsidR="00773755" w:rsidRPr="0099279C">
        <w:rPr>
          <w:rFonts w:cs="Times New Roman"/>
          <w:sz w:val="24"/>
          <w:szCs w:val="24"/>
          <w:lang w:val="en-US"/>
        </w:rPr>
        <w:t xml:space="preserve"> </w:t>
      </w:r>
      <w:r w:rsidR="00B52193" w:rsidRPr="0099279C">
        <w:rPr>
          <w:rFonts w:cs="Times New Roman"/>
          <w:sz w:val="24"/>
          <w:szCs w:val="24"/>
          <w:lang w:val="en-US"/>
        </w:rPr>
        <w:t>case scenario is shown in Figure 3-2. In the western gull risk model, o</w:t>
      </w:r>
      <w:r w:rsidR="00386296" w:rsidRPr="0099279C">
        <w:rPr>
          <w:rFonts w:cs="Times New Roman"/>
          <w:sz w:val="24"/>
          <w:szCs w:val="24"/>
          <w:lang w:val="en-US"/>
        </w:rPr>
        <w:t xml:space="preserve">nce mice are dead, they are no longer available. </w:t>
      </w:r>
      <w:r w:rsidR="00B52193" w:rsidRPr="0099279C">
        <w:rPr>
          <w:rFonts w:cs="Times New Roman"/>
          <w:sz w:val="24"/>
          <w:szCs w:val="24"/>
          <w:lang w:val="en-US"/>
        </w:rPr>
        <w:t>Intoxicated</w:t>
      </w:r>
      <w:r w:rsidR="00386296" w:rsidRPr="0099279C">
        <w:rPr>
          <w:rFonts w:cs="Times New Roman"/>
          <w:sz w:val="24"/>
          <w:szCs w:val="24"/>
          <w:lang w:val="en-US"/>
        </w:rPr>
        <w:t xml:space="preserve"> mice on the surface</w:t>
      </w:r>
      <w:r w:rsidR="00B52193" w:rsidRPr="0099279C">
        <w:rPr>
          <w:rFonts w:cs="Times New Roman"/>
          <w:sz w:val="24"/>
          <w:szCs w:val="24"/>
          <w:lang w:val="en-US"/>
        </w:rPr>
        <w:t>, however,</w:t>
      </w:r>
      <w:r w:rsidR="00386296" w:rsidRPr="0099279C">
        <w:rPr>
          <w:rFonts w:cs="Times New Roman"/>
          <w:sz w:val="24"/>
          <w:szCs w:val="24"/>
          <w:lang w:val="en-US"/>
        </w:rPr>
        <w:t xml:space="preserve"> are available</w:t>
      </w:r>
      <w:r w:rsidR="00B52193" w:rsidRPr="0099279C">
        <w:rPr>
          <w:rFonts w:cs="Times New Roman"/>
          <w:sz w:val="24"/>
          <w:szCs w:val="24"/>
          <w:lang w:val="en-US"/>
        </w:rPr>
        <w:t xml:space="preserve"> for consumption</w:t>
      </w:r>
      <w:r w:rsidR="00386296" w:rsidRPr="0099279C">
        <w:rPr>
          <w:rFonts w:cs="Times New Roman"/>
          <w:sz w:val="24"/>
          <w:szCs w:val="24"/>
          <w:lang w:val="en-US"/>
        </w:rPr>
        <w:t>.</w:t>
      </w:r>
      <w:r w:rsidR="00B52193" w:rsidRPr="0099279C">
        <w:rPr>
          <w:rFonts w:cs="Times New Roman"/>
          <w:sz w:val="24"/>
          <w:szCs w:val="24"/>
          <w:lang w:val="en-US"/>
        </w:rPr>
        <w:t xml:space="preserve"> The regression model for the worst case scenario </w:t>
      </w:r>
      <w:r w:rsidR="00773755">
        <w:rPr>
          <w:rFonts w:cs="Times New Roman"/>
          <w:sz w:val="24"/>
          <w:szCs w:val="24"/>
          <w:lang w:val="en-US"/>
        </w:rPr>
        <w:t>is</w:t>
      </w:r>
      <w:r w:rsidR="00B52193" w:rsidRPr="0099279C">
        <w:rPr>
          <w:rFonts w:cs="Times New Roman"/>
          <w:sz w:val="24"/>
          <w:szCs w:val="24"/>
          <w:lang w:val="en-US"/>
        </w:rPr>
        <w:t>:</w:t>
      </w:r>
    </w:p>
    <w:p w:rsidR="00BB14D0" w:rsidRPr="0099279C" w:rsidRDefault="00072FDD" w:rsidP="00AB6C69">
      <w:pPr>
        <w:jc w:val="center"/>
        <w:rPr>
          <w:rFonts w:cs="Times New Roman"/>
          <w:sz w:val="24"/>
          <w:szCs w:val="24"/>
          <w:lang w:val="en-US"/>
        </w:rPr>
      </w:pPr>
      <w:r w:rsidRPr="0099279C">
        <w:rPr>
          <w:rFonts w:cs="Times New Roman"/>
          <w:position w:val="-10"/>
          <w:sz w:val="24"/>
          <w:szCs w:val="24"/>
          <w:lang w:val="en-US"/>
        </w:rPr>
        <w:object w:dxaOrig="3739" w:dyaOrig="360">
          <v:shape id="_x0000_i1026" type="#_x0000_t75" style="width:188.35pt;height:19pt" o:ole="">
            <v:imagedata r:id="rId20" o:title=""/>
          </v:shape>
          <o:OLEObject Type="Embed" ProgID="Equation.3" ShapeID="_x0000_i1026" DrawAspect="Content" ObjectID="_1416825777" r:id="rId21"/>
        </w:object>
      </w:r>
    </w:p>
    <w:p w:rsidR="00BB14D0" w:rsidRDefault="00A20207" w:rsidP="00A20207">
      <w:pPr>
        <w:rPr>
          <w:rFonts w:cs="Times New Roman"/>
          <w:sz w:val="24"/>
          <w:szCs w:val="24"/>
          <w:lang w:val="en-US"/>
        </w:rPr>
      </w:pPr>
      <w:r w:rsidRPr="0099279C">
        <w:rPr>
          <w:rFonts w:cs="Times New Roman"/>
          <w:sz w:val="24"/>
          <w:szCs w:val="24"/>
          <w:lang w:val="en-US"/>
        </w:rPr>
        <w:t xml:space="preserve">Model fit for </w:t>
      </w:r>
      <w:r w:rsidR="00773755">
        <w:rPr>
          <w:rFonts w:cs="Times New Roman"/>
          <w:sz w:val="24"/>
          <w:szCs w:val="24"/>
          <w:lang w:val="en-US"/>
        </w:rPr>
        <w:t>the worst case scenario was</w:t>
      </w:r>
      <w:r w:rsidRPr="0099279C">
        <w:rPr>
          <w:rFonts w:cs="Times New Roman"/>
          <w:sz w:val="24"/>
          <w:szCs w:val="24"/>
          <w:lang w:val="en-US"/>
        </w:rPr>
        <w:t xml:space="preserve"> excellent with </w:t>
      </w:r>
      <w:r w:rsidR="00773755">
        <w:rPr>
          <w:rFonts w:cs="Times New Roman"/>
          <w:sz w:val="24"/>
          <w:szCs w:val="24"/>
          <w:lang w:val="en-US"/>
        </w:rPr>
        <w:t xml:space="preserve">a </w:t>
      </w:r>
      <w:r w:rsidRPr="0099279C">
        <w:rPr>
          <w:rFonts w:cs="Times New Roman"/>
          <w:sz w:val="24"/>
          <w:szCs w:val="24"/>
          <w:lang w:val="en-US"/>
        </w:rPr>
        <w:t xml:space="preserve">correlation coefficient </w:t>
      </w:r>
      <w:r w:rsidR="00773755">
        <w:rPr>
          <w:rFonts w:cs="Times New Roman"/>
          <w:sz w:val="24"/>
          <w:szCs w:val="24"/>
          <w:lang w:val="en-US"/>
        </w:rPr>
        <w:t xml:space="preserve">of </w:t>
      </w:r>
      <w:r w:rsidRPr="0099279C">
        <w:rPr>
          <w:rFonts w:cs="Times New Roman"/>
          <w:sz w:val="24"/>
          <w:szCs w:val="24"/>
          <w:lang w:val="en-US"/>
        </w:rPr>
        <w:t>0.99</w:t>
      </w:r>
      <w:r w:rsidRPr="00034E19">
        <w:rPr>
          <w:rFonts w:cs="Times New Roman"/>
          <w:sz w:val="24"/>
          <w:szCs w:val="24"/>
          <w:lang w:val="en-US"/>
        </w:rPr>
        <w:t xml:space="preserve">. </w:t>
      </w:r>
      <w:r w:rsidR="00293B07" w:rsidRPr="00293B07">
        <w:rPr>
          <w:sz w:val="24"/>
          <w:szCs w:val="24"/>
        </w:rPr>
        <w:t xml:space="preserve">Thus, we </w:t>
      </w:r>
      <w:r w:rsidR="00034E19">
        <w:rPr>
          <w:sz w:val="24"/>
          <w:szCs w:val="24"/>
        </w:rPr>
        <w:t>have high confidence</w:t>
      </w:r>
      <w:r w:rsidR="00293B07" w:rsidRPr="00293B07">
        <w:rPr>
          <w:sz w:val="24"/>
          <w:szCs w:val="24"/>
        </w:rPr>
        <w:t xml:space="preserve"> in the parameterization of the regression model.</w:t>
      </w:r>
      <w:r w:rsidR="00034E19">
        <w:rPr>
          <w:sz w:val="24"/>
          <w:szCs w:val="24"/>
        </w:rPr>
        <w:t xml:space="preserve"> </w:t>
      </w:r>
      <w:r w:rsidRPr="00034E19">
        <w:rPr>
          <w:rFonts w:cs="Times New Roman"/>
          <w:sz w:val="24"/>
          <w:szCs w:val="24"/>
          <w:lang w:val="en-US"/>
        </w:rPr>
        <w:t>I</w:t>
      </w:r>
      <w:r w:rsidRPr="0099279C">
        <w:rPr>
          <w:rFonts w:cs="Times New Roman"/>
          <w:sz w:val="24"/>
          <w:szCs w:val="24"/>
          <w:lang w:val="en-US"/>
        </w:rPr>
        <w:t>n the western gull risk model, consumption of mice was assumed to decline in direct relation to the decline in availability of mice relative to pre-</w:t>
      </w:r>
      <w:r w:rsidR="00773755">
        <w:rPr>
          <w:rFonts w:cs="Times New Roman"/>
          <w:sz w:val="24"/>
          <w:szCs w:val="24"/>
          <w:lang w:val="en-US"/>
        </w:rPr>
        <w:t>application</w:t>
      </w:r>
      <w:r w:rsidR="00773755" w:rsidRPr="0099279C">
        <w:rPr>
          <w:rFonts w:cs="Times New Roman"/>
          <w:sz w:val="24"/>
          <w:szCs w:val="24"/>
          <w:lang w:val="en-US"/>
        </w:rPr>
        <w:t xml:space="preserve"> </w:t>
      </w:r>
      <w:r w:rsidRPr="0099279C">
        <w:rPr>
          <w:rFonts w:cs="Times New Roman"/>
          <w:sz w:val="24"/>
          <w:szCs w:val="24"/>
          <w:lang w:val="en-US"/>
        </w:rPr>
        <w:t>conditions.</w:t>
      </w:r>
      <w:r w:rsidR="00CB48AC" w:rsidRPr="0099279C">
        <w:rPr>
          <w:rFonts w:cs="Times New Roman"/>
          <w:sz w:val="24"/>
          <w:szCs w:val="24"/>
          <w:lang w:val="en-US"/>
        </w:rPr>
        <w:t xml:space="preserve"> </w:t>
      </w:r>
      <w:r w:rsidR="00E306DB" w:rsidRPr="0099279C">
        <w:rPr>
          <w:rFonts w:cs="Times New Roman"/>
          <w:sz w:val="24"/>
          <w:szCs w:val="24"/>
          <w:lang w:val="en-US"/>
        </w:rPr>
        <w:t>Thus</w:t>
      </w:r>
      <w:r w:rsidR="00CB48AC" w:rsidRPr="0099279C">
        <w:rPr>
          <w:rFonts w:cs="Times New Roman"/>
          <w:sz w:val="24"/>
          <w:szCs w:val="24"/>
          <w:lang w:val="en-US"/>
        </w:rPr>
        <w:t xml:space="preserve">, the daily probability of </w:t>
      </w:r>
      <w:r w:rsidR="007258E2" w:rsidRPr="0099279C">
        <w:rPr>
          <w:rFonts w:cs="Times New Roman"/>
          <w:sz w:val="24"/>
          <w:szCs w:val="24"/>
          <w:lang w:val="en-US"/>
        </w:rPr>
        <w:t>a</w:t>
      </w:r>
      <w:r w:rsidR="00FE2215">
        <w:rPr>
          <w:rFonts w:cs="Times New Roman"/>
          <w:sz w:val="24"/>
          <w:szCs w:val="24"/>
          <w:lang w:val="en-US"/>
        </w:rPr>
        <w:t>n unhazed</w:t>
      </w:r>
      <w:r w:rsidR="007258E2" w:rsidRPr="0099279C">
        <w:rPr>
          <w:rFonts w:cs="Times New Roman"/>
          <w:sz w:val="24"/>
          <w:szCs w:val="24"/>
          <w:lang w:val="en-US"/>
        </w:rPr>
        <w:t xml:space="preserve"> gull </w:t>
      </w:r>
      <w:r w:rsidR="00CB48AC" w:rsidRPr="0099279C">
        <w:rPr>
          <w:rFonts w:cs="Times New Roman"/>
          <w:sz w:val="24"/>
          <w:szCs w:val="24"/>
          <w:lang w:val="en-US"/>
        </w:rPr>
        <w:t xml:space="preserve">consuming mice is adjusted to account for the availability of mice compared to pre-exposure. For example, if the daily probability of </w:t>
      </w:r>
      <w:r w:rsidR="007258E2" w:rsidRPr="0099279C">
        <w:rPr>
          <w:rFonts w:cs="Times New Roman"/>
          <w:sz w:val="24"/>
          <w:szCs w:val="24"/>
          <w:lang w:val="en-US"/>
        </w:rPr>
        <w:t>a</w:t>
      </w:r>
      <w:r w:rsidR="00FE2215">
        <w:rPr>
          <w:rFonts w:cs="Times New Roman"/>
          <w:sz w:val="24"/>
          <w:szCs w:val="24"/>
          <w:lang w:val="en-US"/>
        </w:rPr>
        <w:t>n unhazed</w:t>
      </w:r>
      <w:r w:rsidR="007258E2" w:rsidRPr="0099279C">
        <w:rPr>
          <w:rFonts w:cs="Times New Roman"/>
          <w:sz w:val="24"/>
          <w:szCs w:val="24"/>
          <w:lang w:val="en-US"/>
        </w:rPr>
        <w:t xml:space="preserve"> gull </w:t>
      </w:r>
      <w:r w:rsidR="00CB48AC" w:rsidRPr="0099279C">
        <w:rPr>
          <w:rFonts w:cs="Times New Roman"/>
          <w:sz w:val="24"/>
          <w:szCs w:val="24"/>
          <w:lang w:val="en-US"/>
        </w:rPr>
        <w:t>consuming mice</w:t>
      </w:r>
      <w:r w:rsidR="00957D23" w:rsidRPr="0099279C">
        <w:rPr>
          <w:rFonts w:cs="Times New Roman"/>
          <w:sz w:val="24"/>
          <w:szCs w:val="24"/>
          <w:lang w:val="en-US"/>
        </w:rPr>
        <w:t xml:space="preserve"> on day zero is </w:t>
      </w:r>
      <w:r w:rsidR="00BC1E4F" w:rsidRPr="0099279C">
        <w:rPr>
          <w:rFonts w:cs="Times New Roman"/>
          <w:sz w:val="24"/>
          <w:szCs w:val="24"/>
          <w:lang w:val="en-US"/>
        </w:rPr>
        <w:t>1</w:t>
      </w:r>
      <w:r w:rsidR="00BC1E4F">
        <w:rPr>
          <w:rFonts w:cs="Times New Roman"/>
          <w:sz w:val="24"/>
          <w:szCs w:val="24"/>
          <w:lang w:val="en-US"/>
        </w:rPr>
        <w:t>2.5</w:t>
      </w:r>
      <w:r w:rsidR="00957D23" w:rsidRPr="0099279C">
        <w:rPr>
          <w:rFonts w:cs="Times New Roman"/>
          <w:sz w:val="24"/>
          <w:szCs w:val="24"/>
          <w:lang w:val="en-US"/>
        </w:rPr>
        <w:t xml:space="preserve">% and the availability of mice on the surface compared to pre-exposure is </w:t>
      </w:r>
      <w:r w:rsidR="00BC1E4F">
        <w:rPr>
          <w:rFonts w:cs="Times New Roman"/>
          <w:sz w:val="24"/>
          <w:szCs w:val="24"/>
          <w:lang w:val="en-US"/>
        </w:rPr>
        <w:t>79.7</w:t>
      </w:r>
      <w:r w:rsidR="00957D23" w:rsidRPr="0099279C">
        <w:rPr>
          <w:rFonts w:cs="Times New Roman"/>
          <w:sz w:val="24"/>
          <w:szCs w:val="24"/>
          <w:lang w:val="en-US"/>
        </w:rPr>
        <w:t xml:space="preserve">% on day 5, then the daily probability of consuming mice on day 5 is </w:t>
      </w:r>
      <w:r w:rsidR="00BC1E4F">
        <w:rPr>
          <w:rFonts w:cs="Times New Roman"/>
          <w:sz w:val="24"/>
          <w:szCs w:val="24"/>
          <w:lang w:val="en-US"/>
        </w:rPr>
        <w:t>9.96</w:t>
      </w:r>
      <w:r w:rsidR="00957D23" w:rsidRPr="0099279C">
        <w:rPr>
          <w:rFonts w:cs="Times New Roman"/>
          <w:sz w:val="24"/>
          <w:szCs w:val="24"/>
          <w:lang w:val="en-US"/>
        </w:rPr>
        <w:t>%</w:t>
      </w:r>
      <w:r w:rsidR="00034E19">
        <w:rPr>
          <w:rFonts w:cs="Times New Roman"/>
          <w:sz w:val="24"/>
          <w:szCs w:val="24"/>
          <w:lang w:val="en-US"/>
        </w:rPr>
        <w:t xml:space="preserve"> (i.e., 12.5% x 79.7% = 9.96%)</w:t>
      </w:r>
      <w:r w:rsidR="00957D23" w:rsidRPr="0099279C">
        <w:rPr>
          <w:rFonts w:cs="Times New Roman"/>
          <w:sz w:val="24"/>
          <w:szCs w:val="24"/>
          <w:lang w:val="en-US"/>
        </w:rPr>
        <w:t>.</w:t>
      </w:r>
    </w:p>
    <w:p w:rsidR="00C7676A" w:rsidRPr="0099279C" w:rsidRDefault="00C7676A" w:rsidP="00A20207">
      <w:pPr>
        <w:rPr>
          <w:rFonts w:cs="Times New Roman"/>
          <w:sz w:val="24"/>
          <w:szCs w:val="24"/>
          <w:lang w:val="en-US"/>
        </w:rPr>
      </w:pPr>
      <w:r>
        <w:rPr>
          <w:rFonts w:cs="Times New Roman"/>
          <w:sz w:val="24"/>
          <w:szCs w:val="24"/>
          <w:lang w:val="en-US"/>
        </w:rPr>
        <w:t xml:space="preserve">The availability of mice following application of diphacinone is not as well understood as is the case with brodifacoum. </w:t>
      </w:r>
      <w:r w:rsidRPr="00C7676A">
        <w:rPr>
          <w:rFonts w:cs="Times New Roman"/>
          <w:sz w:val="24"/>
          <w:szCs w:val="24"/>
          <w:lang w:val="en-US"/>
        </w:rPr>
        <w:t>EPA (1998) note</w:t>
      </w:r>
      <w:r>
        <w:rPr>
          <w:rFonts w:cs="Times New Roman"/>
          <w:sz w:val="24"/>
          <w:szCs w:val="24"/>
          <w:lang w:val="en-US"/>
        </w:rPr>
        <w:t>d</w:t>
      </w:r>
      <w:r w:rsidRPr="00C7676A">
        <w:rPr>
          <w:rFonts w:cs="Times New Roman"/>
          <w:sz w:val="24"/>
          <w:szCs w:val="24"/>
          <w:lang w:val="en-US"/>
        </w:rPr>
        <w:t xml:space="preserve"> that mice may experience severe symptoms as early as 3 days after exposure</w:t>
      </w:r>
      <w:r>
        <w:rPr>
          <w:rFonts w:cs="Times New Roman"/>
          <w:sz w:val="24"/>
          <w:szCs w:val="24"/>
          <w:lang w:val="en-US"/>
        </w:rPr>
        <w:t xml:space="preserve"> to diphacinone and are generally all dead following 9 days of continuous exposure</w:t>
      </w:r>
      <w:r w:rsidRPr="00C7676A">
        <w:rPr>
          <w:rFonts w:cs="Times New Roman"/>
          <w:sz w:val="24"/>
          <w:szCs w:val="24"/>
          <w:lang w:val="en-US"/>
        </w:rPr>
        <w:t>.</w:t>
      </w:r>
      <w:r>
        <w:rPr>
          <w:rFonts w:cs="Times New Roman"/>
          <w:sz w:val="24"/>
          <w:szCs w:val="24"/>
          <w:lang w:val="en-US"/>
        </w:rPr>
        <w:t xml:space="preserve"> For this assessment, we assumed that an equal percentage of mice died on each day from day 3 to day 9. Because there were no data on the percentage of intoxicated and dead mice that remain above ground, we assumed </w:t>
      </w:r>
      <w:r w:rsidR="00E11D27">
        <w:rPr>
          <w:rFonts w:cs="Times New Roman"/>
          <w:sz w:val="24"/>
          <w:szCs w:val="24"/>
          <w:lang w:val="en-US"/>
        </w:rPr>
        <w:t xml:space="preserve">the </w:t>
      </w:r>
      <w:r w:rsidR="00FE2215">
        <w:rPr>
          <w:rFonts w:cs="Times New Roman"/>
          <w:sz w:val="24"/>
          <w:szCs w:val="24"/>
          <w:lang w:val="en-US"/>
        </w:rPr>
        <w:t>worst case</w:t>
      </w:r>
      <w:r w:rsidR="00E11D27">
        <w:rPr>
          <w:rFonts w:cs="Times New Roman"/>
          <w:sz w:val="24"/>
          <w:szCs w:val="24"/>
          <w:lang w:val="en-US"/>
        </w:rPr>
        <w:t xml:space="preserve"> scenario </w:t>
      </w:r>
      <w:r>
        <w:rPr>
          <w:rFonts w:cs="Times New Roman"/>
          <w:sz w:val="24"/>
          <w:szCs w:val="24"/>
          <w:lang w:val="en-US"/>
        </w:rPr>
        <w:t>that all mice remained above ground following exposure to diphacinone.</w:t>
      </w:r>
      <w:r w:rsidR="00072FDD">
        <w:rPr>
          <w:rFonts w:cs="Times New Roman"/>
          <w:sz w:val="24"/>
          <w:szCs w:val="24"/>
          <w:lang w:val="en-US"/>
        </w:rPr>
        <w:t xml:space="preserve"> Assuming that all intoxicated and dead mice remain above ground means that they are available for consumption, which is not the case with mice that are below ground.</w:t>
      </w:r>
    </w:p>
    <w:p w:rsidR="0091297E" w:rsidRPr="0099279C" w:rsidRDefault="00A673F7" w:rsidP="0091297E">
      <w:pPr>
        <w:keepNext/>
        <w:jc w:val="center"/>
        <w:rPr>
          <w:rFonts w:cs="Times New Roman"/>
          <w:sz w:val="24"/>
          <w:szCs w:val="24"/>
        </w:rPr>
      </w:pPr>
      <w:r>
        <w:rPr>
          <w:rFonts w:cs="Times New Roman"/>
          <w:noProof/>
          <w:sz w:val="24"/>
          <w:szCs w:val="24"/>
          <w:lang w:val="en-US"/>
        </w:rPr>
        <w:drawing>
          <wp:inline distT="0" distB="0" distL="0" distR="0" wp14:anchorId="688171B5" wp14:editId="48F4143B">
            <wp:extent cx="5943600" cy="4771390"/>
            <wp:effectExtent l="0" t="0" r="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20207" w:rsidRPr="0099279C" w:rsidRDefault="0091297E" w:rsidP="0091297E">
      <w:pPr>
        <w:pStyle w:val="Caption"/>
        <w:jc w:val="center"/>
        <w:rPr>
          <w:rFonts w:cs="Times New Roman"/>
          <w:color w:val="auto"/>
          <w:sz w:val="24"/>
          <w:szCs w:val="24"/>
        </w:rPr>
      </w:pPr>
      <w:proofErr w:type="gramStart"/>
      <w:r w:rsidRPr="0099279C">
        <w:rPr>
          <w:rFonts w:cs="Times New Roman"/>
          <w:color w:val="auto"/>
          <w:sz w:val="24"/>
          <w:szCs w:val="24"/>
        </w:rPr>
        <w:t>Figure 3-2.</w:t>
      </w:r>
      <w:proofErr w:type="gramEnd"/>
      <w:r w:rsidRPr="0099279C">
        <w:rPr>
          <w:rFonts w:cs="Times New Roman"/>
          <w:color w:val="auto"/>
          <w:sz w:val="24"/>
          <w:szCs w:val="24"/>
        </w:rPr>
        <w:t xml:space="preserve"> </w:t>
      </w:r>
      <w:proofErr w:type="gramStart"/>
      <w:r w:rsidR="00877186" w:rsidRPr="0099279C">
        <w:rPr>
          <w:rFonts w:cs="Times New Roman"/>
          <w:color w:val="auto"/>
          <w:sz w:val="24"/>
          <w:szCs w:val="24"/>
        </w:rPr>
        <w:t xml:space="preserve">Proportion of mice available for consumption by western gulls following application of brodifacoum on </w:t>
      </w:r>
      <w:r w:rsidR="00BE7C91">
        <w:rPr>
          <w:rFonts w:cs="Times New Roman"/>
          <w:color w:val="auto"/>
          <w:sz w:val="24"/>
          <w:szCs w:val="24"/>
        </w:rPr>
        <w:t>SFI</w:t>
      </w:r>
      <w:r w:rsidRPr="0099279C">
        <w:rPr>
          <w:rFonts w:cs="Times New Roman"/>
          <w:color w:val="auto"/>
          <w:sz w:val="24"/>
          <w:szCs w:val="24"/>
        </w:rPr>
        <w:t>.</w:t>
      </w:r>
      <w:proofErr w:type="gramEnd"/>
      <w:r w:rsidRPr="0099279C">
        <w:rPr>
          <w:rFonts w:cs="Times New Roman"/>
          <w:color w:val="auto"/>
          <w:sz w:val="24"/>
          <w:szCs w:val="24"/>
        </w:rPr>
        <w:t xml:space="preserve"> </w:t>
      </w:r>
      <w:r w:rsidR="00877186" w:rsidRPr="0099279C">
        <w:rPr>
          <w:rFonts w:cs="Times New Roman"/>
          <w:color w:val="auto"/>
          <w:sz w:val="24"/>
          <w:szCs w:val="24"/>
        </w:rPr>
        <w:t>Raw d</w:t>
      </w:r>
      <w:r w:rsidRPr="0099279C">
        <w:rPr>
          <w:rFonts w:cs="Times New Roman"/>
          <w:color w:val="auto"/>
          <w:sz w:val="24"/>
          <w:szCs w:val="24"/>
        </w:rPr>
        <w:t xml:space="preserve">ata are from Fisher (2009). The fitted model is a </w:t>
      </w:r>
      <w:r w:rsidR="00877186" w:rsidRPr="0099279C">
        <w:rPr>
          <w:rFonts w:cs="Times New Roman"/>
          <w:color w:val="auto"/>
          <w:sz w:val="24"/>
          <w:szCs w:val="24"/>
        </w:rPr>
        <w:t>2</w:t>
      </w:r>
      <w:r w:rsidR="00877186" w:rsidRPr="0099279C">
        <w:rPr>
          <w:rFonts w:cs="Times New Roman"/>
          <w:color w:val="auto"/>
          <w:sz w:val="24"/>
          <w:szCs w:val="24"/>
          <w:vertAlign w:val="superscript"/>
        </w:rPr>
        <w:t>nd</w:t>
      </w:r>
      <w:r w:rsidR="00877186" w:rsidRPr="0099279C">
        <w:rPr>
          <w:rFonts w:cs="Times New Roman"/>
          <w:color w:val="auto"/>
          <w:sz w:val="24"/>
          <w:szCs w:val="24"/>
        </w:rPr>
        <w:t xml:space="preserve"> order </w:t>
      </w:r>
      <w:r w:rsidRPr="0099279C">
        <w:rPr>
          <w:rFonts w:cs="Times New Roman"/>
          <w:color w:val="auto"/>
          <w:sz w:val="24"/>
          <w:szCs w:val="24"/>
        </w:rPr>
        <w:t xml:space="preserve">polynomial model. Symptoms begin 5 days after initial </w:t>
      </w:r>
      <w:r w:rsidR="00877186" w:rsidRPr="0099279C">
        <w:rPr>
          <w:rFonts w:cs="Times New Roman"/>
          <w:color w:val="auto"/>
          <w:sz w:val="24"/>
          <w:szCs w:val="24"/>
        </w:rPr>
        <w:t>application with</w:t>
      </w:r>
      <w:r w:rsidR="001A46B1" w:rsidRPr="0099279C">
        <w:rPr>
          <w:rFonts w:cs="Times New Roman"/>
          <w:color w:val="auto"/>
          <w:sz w:val="24"/>
          <w:szCs w:val="24"/>
        </w:rPr>
        <w:t xml:space="preserve"> death follow</w:t>
      </w:r>
      <w:r w:rsidR="00877186" w:rsidRPr="0099279C">
        <w:rPr>
          <w:rFonts w:cs="Times New Roman"/>
          <w:color w:val="auto"/>
          <w:sz w:val="24"/>
          <w:szCs w:val="24"/>
        </w:rPr>
        <w:t>ing</w:t>
      </w:r>
      <w:r w:rsidR="001A46B1" w:rsidRPr="0099279C">
        <w:rPr>
          <w:rFonts w:cs="Times New Roman"/>
          <w:color w:val="auto"/>
          <w:sz w:val="24"/>
          <w:szCs w:val="24"/>
        </w:rPr>
        <w:t xml:space="preserve"> 2 days after onset of symptoms</w:t>
      </w:r>
      <w:r w:rsidRPr="0099279C">
        <w:rPr>
          <w:rFonts w:cs="Times New Roman"/>
          <w:color w:val="auto"/>
          <w:sz w:val="24"/>
          <w:szCs w:val="24"/>
        </w:rPr>
        <w:t>.</w:t>
      </w:r>
    </w:p>
    <w:p w:rsidR="001A46B1" w:rsidRPr="0099279C" w:rsidRDefault="001A46B1" w:rsidP="001A46B1">
      <w:pPr>
        <w:rPr>
          <w:rFonts w:cs="Times New Roman"/>
          <w:sz w:val="24"/>
          <w:szCs w:val="24"/>
          <w:lang w:val="en-US"/>
        </w:rPr>
      </w:pPr>
      <w:r w:rsidRPr="0099279C">
        <w:rPr>
          <w:rFonts w:cs="Times New Roman"/>
          <w:sz w:val="24"/>
          <w:szCs w:val="24"/>
          <w:lang w:val="en-US"/>
        </w:rPr>
        <w:t xml:space="preserve">As with pellets, once </w:t>
      </w:r>
      <w:r w:rsidR="00FE2215">
        <w:rPr>
          <w:rFonts w:cs="Times New Roman"/>
          <w:sz w:val="24"/>
          <w:szCs w:val="24"/>
          <w:lang w:val="en-US"/>
        </w:rPr>
        <w:t xml:space="preserve">unhazed </w:t>
      </w:r>
      <w:r w:rsidRPr="0099279C">
        <w:rPr>
          <w:rFonts w:cs="Times New Roman"/>
          <w:sz w:val="24"/>
          <w:szCs w:val="24"/>
          <w:lang w:val="en-US"/>
        </w:rPr>
        <w:t xml:space="preserve">western gulls are aware of intoxicated mice as an easy food source, they are more likely to return to that food source </w:t>
      </w:r>
      <w:r w:rsidR="00AD44FF">
        <w:rPr>
          <w:rFonts w:cs="Times New Roman"/>
          <w:sz w:val="24"/>
          <w:szCs w:val="24"/>
          <w:lang w:val="en-US"/>
        </w:rPr>
        <w:t>o</w:t>
      </w:r>
      <w:r w:rsidR="00AD44FF" w:rsidRPr="0099279C">
        <w:rPr>
          <w:rFonts w:cs="Times New Roman"/>
          <w:sz w:val="24"/>
          <w:szCs w:val="24"/>
          <w:lang w:val="en-US"/>
        </w:rPr>
        <w:t xml:space="preserve">n </w:t>
      </w:r>
      <w:r w:rsidRPr="0099279C">
        <w:rPr>
          <w:rFonts w:cs="Times New Roman"/>
          <w:sz w:val="24"/>
          <w:szCs w:val="24"/>
          <w:lang w:val="en-US"/>
        </w:rPr>
        <w:t xml:space="preserve">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mice to account for this learned behavior. Quantitative data to parameterize the </w:t>
      </w:r>
      <w:r w:rsidR="00076970">
        <w:rPr>
          <w:rFonts w:cs="Times New Roman"/>
          <w:sz w:val="24"/>
          <w:szCs w:val="24"/>
          <w:lang w:val="en-US"/>
        </w:rPr>
        <w:t>conditional probability</w:t>
      </w:r>
      <w:r w:rsidRPr="0099279C">
        <w:rPr>
          <w:rFonts w:cs="Times New Roman"/>
          <w:sz w:val="24"/>
          <w:szCs w:val="24"/>
          <w:lang w:val="en-US"/>
        </w:rPr>
        <w:t xml:space="preserve">, however, are lacking. </w:t>
      </w:r>
      <w:r w:rsidR="006D7D90">
        <w:rPr>
          <w:rFonts w:cs="Times New Roman"/>
          <w:sz w:val="24"/>
          <w:szCs w:val="24"/>
          <w:lang w:val="en-US"/>
        </w:rPr>
        <w:t>As with pellets, we</w:t>
      </w:r>
      <w:r w:rsidRPr="0099279C">
        <w:rPr>
          <w:rFonts w:cs="Times New Roman"/>
          <w:sz w:val="24"/>
          <w:szCs w:val="24"/>
          <w:lang w:val="en-US"/>
        </w:rPr>
        <w:t xml:space="preserve"> </w:t>
      </w:r>
      <w:r w:rsidR="006D7D90">
        <w:rPr>
          <w:rFonts w:cs="Times New Roman"/>
          <w:sz w:val="24"/>
          <w:szCs w:val="24"/>
          <w:lang w:val="en-US"/>
        </w:rPr>
        <w:t xml:space="preserve">assumed a </w:t>
      </w:r>
      <w:r w:rsidR="00076970">
        <w:rPr>
          <w:rFonts w:cs="Times New Roman"/>
          <w:sz w:val="24"/>
          <w:szCs w:val="24"/>
          <w:lang w:val="en-US"/>
        </w:rPr>
        <w:t>conditional probability</w:t>
      </w:r>
      <w:r w:rsidR="006D7D90">
        <w:rPr>
          <w:rFonts w:cs="Times New Roman"/>
          <w:sz w:val="24"/>
          <w:szCs w:val="24"/>
          <w:lang w:val="en-US"/>
        </w:rPr>
        <w:t xml:space="preserve"> of 90% for mice</w:t>
      </w:r>
      <w:r w:rsidRPr="0099279C">
        <w:rPr>
          <w:rFonts w:cs="Times New Roman"/>
          <w:sz w:val="24"/>
          <w:szCs w:val="24"/>
          <w:lang w:val="en-US"/>
        </w:rPr>
        <w:t xml:space="preserve"> based on discussions with Dan Grout from Island Conservation. The </w:t>
      </w:r>
      <w:r w:rsidR="00076970">
        <w:rPr>
          <w:rFonts w:cs="Times New Roman"/>
          <w:sz w:val="24"/>
          <w:szCs w:val="24"/>
          <w:lang w:val="en-US"/>
        </w:rPr>
        <w:t>conditional probability</w:t>
      </w:r>
      <w:r w:rsidRPr="0099279C">
        <w:rPr>
          <w:rFonts w:cs="Times New Roman"/>
          <w:sz w:val="24"/>
          <w:szCs w:val="24"/>
          <w:lang w:val="en-US"/>
        </w:rPr>
        <w:t xml:space="preserve"> essentially adjusts the daily probability of a</w:t>
      </w:r>
      <w:r w:rsidR="00FE2215">
        <w:rPr>
          <w:rFonts w:cs="Times New Roman"/>
          <w:sz w:val="24"/>
          <w:szCs w:val="24"/>
          <w:lang w:val="en-US"/>
        </w:rPr>
        <w:t>n unhazed</w:t>
      </w:r>
      <w:r w:rsidRPr="0099279C">
        <w:rPr>
          <w:rFonts w:cs="Times New Roman"/>
          <w:sz w:val="24"/>
          <w:szCs w:val="24"/>
          <w:lang w:val="en-US"/>
        </w:rPr>
        <w:t xml:space="preserve"> gull consuming mice given the result from the previous day. </w:t>
      </w:r>
    </w:p>
    <w:p w:rsidR="00CD4F10" w:rsidRPr="0099279C" w:rsidRDefault="001A46B1" w:rsidP="0023118F">
      <w:pPr>
        <w:rPr>
          <w:rFonts w:cs="Times New Roman"/>
          <w:sz w:val="24"/>
          <w:szCs w:val="24"/>
          <w:lang w:val="en-US"/>
        </w:rPr>
      </w:pPr>
      <w:r w:rsidRPr="0099279C">
        <w:rPr>
          <w:rFonts w:cs="Times New Roman"/>
          <w:sz w:val="24"/>
          <w:szCs w:val="24"/>
          <w:lang w:val="en-US"/>
        </w:rPr>
        <w:t>In addition to determining whether a</w:t>
      </w:r>
      <w:r w:rsidR="00FE2215">
        <w:rPr>
          <w:rFonts w:cs="Times New Roman"/>
          <w:sz w:val="24"/>
          <w:szCs w:val="24"/>
          <w:lang w:val="en-US"/>
        </w:rPr>
        <w:t>n unhazed</w:t>
      </w:r>
      <w:r w:rsidRPr="0099279C">
        <w:rPr>
          <w:rFonts w:cs="Times New Roman"/>
          <w:sz w:val="24"/>
          <w:szCs w:val="24"/>
          <w:lang w:val="en-US"/>
        </w:rPr>
        <w:t xml:space="preserve"> gull feeds on mice in each day of the model simulation, we need to determine the number of mice consumed on days when consumption occurs. </w:t>
      </w:r>
      <w:r w:rsidR="007562DB" w:rsidRPr="0099279C">
        <w:rPr>
          <w:rFonts w:cs="Times New Roman"/>
          <w:sz w:val="24"/>
          <w:szCs w:val="24"/>
          <w:lang w:val="en-US"/>
        </w:rPr>
        <w:t>We</w:t>
      </w:r>
      <w:r w:rsidRPr="0099279C">
        <w:rPr>
          <w:rFonts w:cs="Times New Roman"/>
          <w:sz w:val="24"/>
          <w:szCs w:val="24"/>
          <w:lang w:val="en-US"/>
        </w:rPr>
        <w:t xml:space="preserve"> determined the number of mice required to meet the metabolic needs of adult gulls. The </w:t>
      </w:r>
      <w:r w:rsidR="0023118F" w:rsidRPr="0099279C">
        <w:rPr>
          <w:rFonts w:cs="Times New Roman"/>
          <w:sz w:val="24"/>
          <w:szCs w:val="24"/>
          <w:lang w:val="en-US"/>
        </w:rPr>
        <w:t>gross energy of mice is 8.4 kJ/g ww and they are assimilated by bird</w:t>
      </w:r>
      <w:r w:rsidR="00347168" w:rsidRPr="0099279C">
        <w:rPr>
          <w:rFonts w:cs="Times New Roman"/>
          <w:sz w:val="24"/>
          <w:szCs w:val="24"/>
          <w:lang w:val="en-US"/>
        </w:rPr>
        <w:t>s</w:t>
      </w:r>
      <w:r w:rsidR="0023118F" w:rsidRPr="0099279C">
        <w:rPr>
          <w:rFonts w:cs="Times New Roman"/>
          <w:sz w:val="24"/>
          <w:szCs w:val="24"/>
          <w:lang w:val="en-US"/>
        </w:rPr>
        <w:t xml:space="preserve"> with an efficiency of 78% (EPA, 1993). Thus, the </w:t>
      </w:r>
      <w:r w:rsidRPr="0099279C">
        <w:rPr>
          <w:rFonts w:cs="Times New Roman"/>
          <w:sz w:val="24"/>
          <w:szCs w:val="24"/>
          <w:lang w:val="en-US"/>
        </w:rPr>
        <w:t xml:space="preserve">metabolizeable energy </w:t>
      </w:r>
      <w:r w:rsidR="0023118F" w:rsidRPr="0099279C">
        <w:rPr>
          <w:rFonts w:cs="Times New Roman"/>
          <w:sz w:val="24"/>
          <w:szCs w:val="24"/>
          <w:lang w:val="en-US"/>
        </w:rPr>
        <w:t>of mice</w:t>
      </w:r>
      <w:r w:rsidRPr="0099279C">
        <w:rPr>
          <w:rFonts w:cs="Times New Roman"/>
          <w:sz w:val="24"/>
          <w:szCs w:val="24"/>
          <w:lang w:val="en-US"/>
        </w:rPr>
        <w:t xml:space="preserve"> </w:t>
      </w:r>
      <w:r w:rsidR="0023118F" w:rsidRPr="0099279C">
        <w:rPr>
          <w:rFonts w:cs="Times New Roman"/>
          <w:sz w:val="24"/>
          <w:szCs w:val="24"/>
          <w:lang w:val="en-US"/>
        </w:rPr>
        <w:t>is 6.55 kJ/g ww</w:t>
      </w:r>
      <w:r w:rsidRPr="0099279C">
        <w:rPr>
          <w:rFonts w:cs="Times New Roman"/>
          <w:sz w:val="24"/>
          <w:szCs w:val="24"/>
          <w:lang w:val="en-US"/>
        </w:rPr>
        <w:t xml:space="preserve">. </w:t>
      </w:r>
      <w:r w:rsidR="0023118F" w:rsidRPr="0099279C">
        <w:rPr>
          <w:rFonts w:cs="Times New Roman"/>
          <w:sz w:val="24"/>
          <w:szCs w:val="24"/>
          <w:lang w:val="en-US"/>
        </w:rPr>
        <w:t xml:space="preserve">Assuming an average body weight of </w:t>
      </w:r>
      <w:r w:rsidR="006D7D90" w:rsidRPr="0099279C">
        <w:rPr>
          <w:rFonts w:cs="Times New Roman"/>
          <w:sz w:val="24"/>
          <w:szCs w:val="24"/>
          <w:lang w:val="en-US"/>
        </w:rPr>
        <w:t>1</w:t>
      </w:r>
      <w:r w:rsidR="006D7D90">
        <w:rPr>
          <w:rFonts w:cs="Times New Roman"/>
          <w:sz w:val="24"/>
          <w:szCs w:val="24"/>
          <w:lang w:val="en-US"/>
        </w:rPr>
        <w:t>5</w:t>
      </w:r>
      <w:r w:rsidR="0023118F" w:rsidRPr="0099279C">
        <w:rPr>
          <w:rFonts w:cs="Times New Roman"/>
          <w:sz w:val="24"/>
          <w:szCs w:val="24"/>
          <w:lang w:val="en-US"/>
        </w:rPr>
        <w:t>.5 g for the house mouse (</w:t>
      </w:r>
      <w:r w:rsidR="006D7D90">
        <w:rPr>
          <w:rFonts w:cs="Times New Roman"/>
          <w:sz w:val="24"/>
          <w:szCs w:val="24"/>
          <w:lang w:val="en-US"/>
        </w:rPr>
        <w:t xml:space="preserve">calculated from 278 samples during 2010 </w:t>
      </w:r>
      <w:r w:rsidR="00BE7C91">
        <w:rPr>
          <w:rFonts w:cs="Times New Roman"/>
          <w:sz w:val="24"/>
          <w:szCs w:val="24"/>
          <w:lang w:val="en-US"/>
        </w:rPr>
        <w:t>SFI</w:t>
      </w:r>
      <w:r w:rsidR="006D7D90">
        <w:rPr>
          <w:rFonts w:cs="Times New Roman"/>
          <w:sz w:val="24"/>
          <w:szCs w:val="24"/>
          <w:lang w:val="en-US"/>
        </w:rPr>
        <w:t xml:space="preserve"> field trials</w:t>
      </w:r>
      <w:r w:rsidR="0023118F" w:rsidRPr="0099279C">
        <w:rPr>
          <w:rFonts w:cs="Times New Roman"/>
          <w:sz w:val="24"/>
          <w:szCs w:val="24"/>
          <w:lang w:val="en-US"/>
        </w:rPr>
        <w:t>)</w:t>
      </w:r>
      <w:proofErr w:type="gramStart"/>
      <w:r w:rsidR="00AC40A5" w:rsidRPr="0099279C">
        <w:rPr>
          <w:rFonts w:cs="Times New Roman"/>
          <w:sz w:val="24"/>
          <w:szCs w:val="24"/>
          <w:lang w:val="en-US"/>
        </w:rPr>
        <w:t>,</w:t>
      </w:r>
      <w:proofErr w:type="gramEnd"/>
      <w:r w:rsidR="00AC40A5" w:rsidRPr="0099279C">
        <w:rPr>
          <w:rFonts w:cs="Times New Roman"/>
          <w:sz w:val="24"/>
          <w:szCs w:val="24"/>
          <w:lang w:val="en-US"/>
        </w:rPr>
        <w:t xml:space="preserve"> the metabolizeable energy of each mouse is </w:t>
      </w:r>
      <w:r w:rsidR="006D7D90">
        <w:rPr>
          <w:rFonts w:cs="Times New Roman"/>
          <w:sz w:val="24"/>
          <w:szCs w:val="24"/>
          <w:lang w:val="en-US"/>
        </w:rPr>
        <w:t>102</w:t>
      </w:r>
      <w:r w:rsidR="006D7D90" w:rsidRPr="0099279C">
        <w:rPr>
          <w:rFonts w:cs="Times New Roman"/>
          <w:sz w:val="24"/>
          <w:szCs w:val="24"/>
          <w:lang w:val="en-US"/>
        </w:rPr>
        <w:t xml:space="preserve"> </w:t>
      </w:r>
      <w:r w:rsidR="00AC40A5" w:rsidRPr="0099279C">
        <w:rPr>
          <w:rFonts w:cs="Times New Roman"/>
          <w:sz w:val="24"/>
          <w:szCs w:val="24"/>
          <w:lang w:val="en-US"/>
        </w:rPr>
        <w:t xml:space="preserve">kJ/mouse. </w:t>
      </w:r>
      <w:r w:rsidRPr="0099279C">
        <w:rPr>
          <w:rFonts w:cs="Times New Roman"/>
          <w:sz w:val="24"/>
          <w:szCs w:val="24"/>
          <w:lang w:val="en-US"/>
        </w:rPr>
        <w:t xml:space="preserve">Adult western gulls require approximately 288 and 336 kJ/day for female and male western gulls, respectively (Pierotti and Annett, 1991; EPA, 1993). Thus, the upper bound for </w:t>
      </w:r>
      <w:r w:rsidR="00AC40A5" w:rsidRPr="0099279C">
        <w:rPr>
          <w:rFonts w:cs="Times New Roman"/>
          <w:sz w:val="24"/>
          <w:szCs w:val="24"/>
          <w:lang w:val="en-US"/>
        </w:rPr>
        <w:t>mice</w:t>
      </w:r>
      <w:r w:rsidRPr="0099279C">
        <w:rPr>
          <w:rFonts w:cs="Times New Roman"/>
          <w:sz w:val="24"/>
          <w:szCs w:val="24"/>
          <w:lang w:val="en-US"/>
        </w:rPr>
        <w:t xml:space="preserve"> consumed per day to meet daily energetic requirements for male western gulls would be </w:t>
      </w:r>
      <w:r w:rsidR="00AC40A5" w:rsidRPr="0099279C">
        <w:rPr>
          <w:rFonts w:cs="Times New Roman"/>
          <w:sz w:val="24"/>
          <w:szCs w:val="24"/>
          <w:lang w:val="en-US"/>
        </w:rPr>
        <w:t>3</w:t>
      </w:r>
      <w:r w:rsidRPr="0099279C">
        <w:rPr>
          <w:rFonts w:cs="Times New Roman"/>
          <w:sz w:val="24"/>
          <w:szCs w:val="24"/>
          <w:lang w:val="en-US"/>
        </w:rPr>
        <w:t xml:space="preserve"> (336/</w:t>
      </w:r>
      <w:r w:rsidR="006D7D90" w:rsidRPr="0099279C">
        <w:rPr>
          <w:rFonts w:cs="Times New Roman"/>
          <w:sz w:val="24"/>
          <w:szCs w:val="24"/>
          <w:lang w:val="en-US"/>
        </w:rPr>
        <w:t>1</w:t>
      </w:r>
      <w:r w:rsidR="006D7D90">
        <w:rPr>
          <w:rFonts w:cs="Times New Roman"/>
          <w:sz w:val="24"/>
          <w:szCs w:val="24"/>
          <w:lang w:val="en-US"/>
        </w:rPr>
        <w:t>02</w:t>
      </w:r>
      <w:r w:rsidR="006D7D90" w:rsidRPr="0099279C">
        <w:rPr>
          <w:rFonts w:cs="Times New Roman"/>
          <w:sz w:val="24"/>
          <w:szCs w:val="24"/>
          <w:lang w:val="en-US"/>
        </w:rPr>
        <w:t xml:space="preserve"> </w:t>
      </w:r>
      <w:r w:rsidR="00AC40A5" w:rsidRPr="0099279C">
        <w:rPr>
          <w:rFonts w:cs="Times New Roman"/>
          <w:sz w:val="24"/>
          <w:szCs w:val="24"/>
          <w:lang w:val="en-US"/>
        </w:rPr>
        <w:t>≈</w:t>
      </w:r>
      <w:r w:rsidRPr="0099279C">
        <w:rPr>
          <w:rFonts w:cs="Times New Roman"/>
          <w:sz w:val="24"/>
          <w:szCs w:val="24"/>
          <w:lang w:val="en-US"/>
        </w:rPr>
        <w:t xml:space="preserve"> </w:t>
      </w:r>
      <w:r w:rsidR="00AC40A5" w:rsidRPr="0099279C">
        <w:rPr>
          <w:rFonts w:cs="Times New Roman"/>
          <w:sz w:val="24"/>
          <w:szCs w:val="24"/>
          <w:lang w:val="en-US"/>
        </w:rPr>
        <w:t>3</w:t>
      </w:r>
      <w:r w:rsidRPr="0099279C">
        <w:rPr>
          <w:rFonts w:cs="Times New Roman"/>
          <w:sz w:val="24"/>
          <w:szCs w:val="24"/>
          <w:lang w:val="en-US"/>
        </w:rPr>
        <w:t xml:space="preserve">). </w:t>
      </w:r>
      <w:r w:rsidR="00AC40A5" w:rsidRPr="0099279C">
        <w:rPr>
          <w:rFonts w:cs="Times New Roman"/>
          <w:sz w:val="24"/>
          <w:szCs w:val="24"/>
          <w:lang w:val="en-US"/>
        </w:rPr>
        <w:t>By adding 1 to a value drawn randomly from a</w:t>
      </w:r>
      <w:r w:rsidRPr="0099279C">
        <w:rPr>
          <w:rFonts w:cs="Times New Roman"/>
          <w:sz w:val="24"/>
          <w:szCs w:val="24"/>
          <w:lang w:val="en-US"/>
        </w:rPr>
        <w:t xml:space="preserve"> Poisson distribution with a rate of </w:t>
      </w:r>
      <w:r w:rsidR="00AC40A5" w:rsidRPr="0099279C">
        <w:rPr>
          <w:rFonts w:cs="Times New Roman"/>
          <w:sz w:val="24"/>
          <w:szCs w:val="24"/>
          <w:lang w:val="en-US"/>
        </w:rPr>
        <w:t>0.2</w:t>
      </w:r>
      <w:r w:rsidRPr="0099279C">
        <w:rPr>
          <w:rFonts w:cs="Times New Roman"/>
          <w:sz w:val="24"/>
          <w:szCs w:val="24"/>
          <w:lang w:val="en-US"/>
        </w:rPr>
        <w:t xml:space="preserve"> </w:t>
      </w:r>
      <w:r w:rsidR="00AC40A5" w:rsidRPr="0099279C">
        <w:rPr>
          <w:rFonts w:cs="Times New Roman"/>
          <w:sz w:val="24"/>
          <w:szCs w:val="24"/>
          <w:lang w:val="en-US"/>
        </w:rPr>
        <w:t xml:space="preserve">generates an upper bound </w:t>
      </w:r>
      <w:proofErr w:type="gramStart"/>
      <w:r w:rsidR="00AC40A5" w:rsidRPr="0099279C">
        <w:rPr>
          <w:rFonts w:cs="Times New Roman"/>
          <w:sz w:val="24"/>
          <w:szCs w:val="24"/>
          <w:lang w:val="en-US"/>
        </w:rPr>
        <w:t>of 3 mice/gull/</w:t>
      </w:r>
      <w:r w:rsidR="008820BD" w:rsidRPr="008820BD">
        <w:rPr>
          <w:rFonts w:cs="Times New Roman"/>
          <w:sz w:val="24"/>
          <w:szCs w:val="24"/>
          <w:lang w:val="en-US"/>
        </w:rPr>
        <w:t>day</w:t>
      </w:r>
      <w:proofErr w:type="gramEnd"/>
      <w:r w:rsidR="00BD2770">
        <w:rPr>
          <w:rFonts w:cs="Times New Roman"/>
          <w:sz w:val="24"/>
          <w:szCs w:val="24"/>
          <w:lang w:val="en-US"/>
        </w:rPr>
        <w:t xml:space="preserve">. It is possible for gulls to exceed their daily energetic requirements on any given day but such a situation is not possible, on average, over many days. </w:t>
      </w:r>
    </w:p>
    <w:p w:rsidR="00CB48AC" w:rsidRPr="0099279C" w:rsidRDefault="00FE2215" w:rsidP="0023118F">
      <w:pPr>
        <w:rPr>
          <w:rFonts w:cs="Times New Roman"/>
          <w:sz w:val="24"/>
          <w:szCs w:val="24"/>
          <w:lang w:val="en-US"/>
        </w:rPr>
      </w:pPr>
      <w:r>
        <w:rPr>
          <w:rFonts w:cs="Times New Roman"/>
          <w:sz w:val="24"/>
          <w:szCs w:val="24"/>
          <w:lang w:val="en-US"/>
        </w:rPr>
        <w:t>Unhazed g</w:t>
      </w:r>
      <w:r w:rsidRPr="0099279C">
        <w:rPr>
          <w:rFonts w:cs="Times New Roman"/>
          <w:sz w:val="24"/>
          <w:szCs w:val="24"/>
          <w:lang w:val="en-US"/>
        </w:rPr>
        <w:t xml:space="preserve">ulls </w:t>
      </w:r>
      <w:r w:rsidR="00CB48AC" w:rsidRPr="0099279C">
        <w:rPr>
          <w:rFonts w:cs="Times New Roman"/>
          <w:sz w:val="24"/>
          <w:szCs w:val="24"/>
          <w:lang w:val="en-US"/>
        </w:rPr>
        <w:t>could conceivably ingest both pellets and mice on the same da</w:t>
      </w:r>
      <w:r w:rsidR="00957D23" w:rsidRPr="0099279C">
        <w:rPr>
          <w:rFonts w:cs="Times New Roman"/>
          <w:sz w:val="24"/>
          <w:szCs w:val="24"/>
          <w:lang w:val="en-US"/>
        </w:rPr>
        <w:t>y. To ensure that the model does not allow for exceedance of daily energetic requirements, the number of mice that could be consumed daily was limited to 0 if number of pellets consumed daily was &gt;25, 1 if number of pellets consumed daily was &gt;15-25, 2 if number of pellets consumed daily was &gt;5-15, and 3 if number of pellets consumed daily was 5 or less.</w:t>
      </w:r>
    </w:p>
    <w:p w:rsidR="008F0994" w:rsidRDefault="008F0994" w:rsidP="0023118F">
      <w:pPr>
        <w:rPr>
          <w:rFonts w:cs="Times New Roman"/>
          <w:sz w:val="24"/>
          <w:szCs w:val="24"/>
          <w:lang w:val="en-US"/>
        </w:rPr>
      </w:pPr>
      <w:r w:rsidRPr="0099279C">
        <w:rPr>
          <w:rFonts w:cs="Times New Roman"/>
          <w:sz w:val="24"/>
          <w:szCs w:val="24"/>
          <w:lang w:val="en-US"/>
        </w:rPr>
        <w:t xml:space="preserve">To determine </w:t>
      </w:r>
      <w:r w:rsidR="006D7D90">
        <w:rPr>
          <w:rFonts w:cs="Times New Roman"/>
          <w:sz w:val="24"/>
          <w:szCs w:val="24"/>
          <w:lang w:val="en-US"/>
        </w:rPr>
        <w:t>rodenticide concentration</w:t>
      </w:r>
      <w:r w:rsidRPr="0099279C">
        <w:rPr>
          <w:rFonts w:cs="Times New Roman"/>
          <w:sz w:val="24"/>
          <w:szCs w:val="24"/>
          <w:lang w:val="en-US"/>
        </w:rPr>
        <w:t xml:space="preserve"> in </w:t>
      </w:r>
      <w:r w:rsidR="00FE2215">
        <w:rPr>
          <w:rFonts w:cs="Times New Roman"/>
          <w:sz w:val="24"/>
          <w:szCs w:val="24"/>
          <w:lang w:val="en-US"/>
        </w:rPr>
        <w:t xml:space="preserve">unhazed </w:t>
      </w:r>
      <w:r w:rsidRPr="0099279C">
        <w:rPr>
          <w:rFonts w:cs="Times New Roman"/>
          <w:sz w:val="24"/>
          <w:szCs w:val="24"/>
          <w:lang w:val="en-US"/>
        </w:rPr>
        <w:t xml:space="preserve">gulls via consumption of mice requires data on expected concentration in mice. </w:t>
      </w:r>
      <w:r w:rsidR="006D7D90">
        <w:rPr>
          <w:rFonts w:cs="Times New Roman"/>
          <w:sz w:val="24"/>
          <w:szCs w:val="24"/>
          <w:lang w:val="en-US"/>
        </w:rPr>
        <w:t xml:space="preserve">For brodifacoum, </w:t>
      </w:r>
      <w:r w:rsidRPr="0099279C">
        <w:rPr>
          <w:rFonts w:cs="Times New Roman"/>
          <w:sz w:val="24"/>
          <w:szCs w:val="24"/>
          <w:lang w:val="en-US"/>
        </w:rPr>
        <w:t xml:space="preserve">Howald et al. (2001) cite a mean concentration in mice exposed for 4-9 days to 25 mg ai/kg bait (i.e., same concentration as Brodifacoum-25D) of 2.71 mg ai/kg ww (standard deviation=0.7). Howald et al. (1999), however, cite a mean concentration of 4.9 mg ai/kg ww in exposed mice. We </w:t>
      </w:r>
      <w:r w:rsidR="006D7D90">
        <w:rPr>
          <w:rFonts w:cs="Times New Roman"/>
          <w:sz w:val="24"/>
          <w:szCs w:val="24"/>
          <w:lang w:val="en-US"/>
        </w:rPr>
        <w:t>selected the</w:t>
      </w:r>
      <w:r w:rsidRPr="0099279C">
        <w:rPr>
          <w:rFonts w:cs="Times New Roman"/>
          <w:sz w:val="24"/>
          <w:szCs w:val="24"/>
          <w:lang w:val="en-US"/>
        </w:rPr>
        <w:t xml:space="preserve"> worst case mean concentration in mice of 4.9 mg ai/kg ww. </w:t>
      </w:r>
      <w:r w:rsidR="006A3945" w:rsidRPr="0099279C">
        <w:rPr>
          <w:rFonts w:cs="Times New Roman"/>
          <w:sz w:val="24"/>
          <w:szCs w:val="24"/>
          <w:lang w:val="en-US"/>
        </w:rPr>
        <w:t xml:space="preserve">The coefficient of variation (CV) determined in the Howald et al. (2001) study (CV = 0.7/2.71 x 100 = 25.8%) was </w:t>
      </w:r>
      <w:r w:rsidR="006D7D90">
        <w:rPr>
          <w:rFonts w:cs="Times New Roman"/>
          <w:sz w:val="24"/>
          <w:szCs w:val="24"/>
          <w:lang w:val="en-US"/>
        </w:rPr>
        <w:t>used to derive the standard deviation of 1.26 for the</w:t>
      </w:r>
      <w:r w:rsidR="006A3945" w:rsidRPr="0099279C">
        <w:rPr>
          <w:rFonts w:cs="Times New Roman"/>
          <w:sz w:val="24"/>
          <w:szCs w:val="24"/>
          <w:lang w:val="en-US"/>
        </w:rPr>
        <w:t xml:space="preserve"> worst case scenario. Concentrations in mice were assumed not to change over time given the persistence of brodifacoum in tissues</w:t>
      </w:r>
      <w:r w:rsidR="004D558A">
        <w:rPr>
          <w:rFonts w:cs="Times New Roman"/>
          <w:sz w:val="24"/>
          <w:szCs w:val="24"/>
          <w:lang w:val="en-US"/>
        </w:rPr>
        <w:t xml:space="preserve"> (Erickson and Urban, 2004) and the short period of time that mice remain after initial rodenticide application</w:t>
      </w:r>
      <w:r w:rsidR="006A3945" w:rsidRPr="0099279C">
        <w:rPr>
          <w:rFonts w:cs="Times New Roman"/>
          <w:sz w:val="24"/>
          <w:szCs w:val="24"/>
          <w:lang w:val="en-US"/>
        </w:rPr>
        <w:t>. For each mouse consumed</w:t>
      </w:r>
      <w:r w:rsidR="004D558A">
        <w:rPr>
          <w:rFonts w:cs="Times New Roman"/>
          <w:sz w:val="24"/>
          <w:szCs w:val="24"/>
          <w:lang w:val="en-US"/>
        </w:rPr>
        <w:t xml:space="preserve"> in the brodifacoum model</w:t>
      </w:r>
      <w:r w:rsidR="006A3945" w:rsidRPr="0099279C">
        <w:rPr>
          <w:rFonts w:cs="Times New Roman"/>
          <w:sz w:val="24"/>
          <w:szCs w:val="24"/>
          <w:lang w:val="en-US"/>
        </w:rPr>
        <w:t xml:space="preserve">, a value was randomly chosen from a lognormal distribution parameterized with the mean concentration and associated </w:t>
      </w:r>
      <w:r w:rsidR="006D7D90">
        <w:rPr>
          <w:rFonts w:cs="Times New Roman"/>
          <w:sz w:val="24"/>
          <w:szCs w:val="24"/>
          <w:lang w:val="en-US"/>
        </w:rPr>
        <w:t>standard deviation</w:t>
      </w:r>
      <w:r w:rsidR="006A3945" w:rsidRPr="0099279C">
        <w:rPr>
          <w:rFonts w:cs="Times New Roman"/>
          <w:sz w:val="24"/>
          <w:szCs w:val="24"/>
          <w:lang w:val="en-US"/>
        </w:rPr>
        <w:t>.</w:t>
      </w:r>
    </w:p>
    <w:p w:rsidR="004D558A" w:rsidRPr="0099279C" w:rsidRDefault="004D558A" w:rsidP="0023118F">
      <w:pPr>
        <w:rPr>
          <w:rFonts w:cs="Times New Roman"/>
          <w:sz w:val="24"/>
          <w:szCs w:val="24"/>
          <w:lang w:val="en-US"/>
        </w:rPr>
      </w:pPr>
      <w:r>
        <w:rPr>
          <w:rFonts w:cs="Times New Roman"/>
          <w:sz w:val="24"/>
          <w:szCs w:val="24"/>
          <w:lang w:val="en-US"/>
        </w:rPr>
        <w:t xml:space="preserve">Little information is available on concentrations of diphacinone in mice following exposure to bait. Pitt et al. (2011) exposed mice to diphacinone in pellets at the same concentration as proposed for </w:t>
      </w:r>
      <w:r w:rsidR="00BE7C91">
        <w:rPr>
          <w:rFonts w:cs="Times New Roman"/>
          <w:sz w:val="24"/>
          <w:szCs w:val="24"/>
          <w:lang w:val="en-US"/>
        </w:rPr>
        <w:t>SFI</w:t>
      </w:r>
      <w:r>
        <w:rPr>
          <w:rFonts w:cs="Times New Roman"/>
          <w:sz w:val="24"/>
          <w:szCs w:val="24"/>
          <w:lang w:val="en-US"/>
        </w:rPr>
        <w:t xml:space="preserve"> (i.e., 50 mg ai/kg bait). Although the authors did not measure the resulting concentrations of diphacinone, they did determine mouse body weights and pellet ingestion rates in six mice that died during the course of the study (see Tables 1-3 in Pitt et al., 2011). Assuming that the mice did not metabolize or eliminate any of the ingested diphacinone, a worst case assumption, the resulting mean concentration in mice was 51.5 mg ai/kg </w:t>
      </w:r>
      <w:proofErr w:type="gramStart"/>
      <w:r>
        <w:rPr>
          <w:rFonts w:cs="Times New Roman"/>
          <w:sz w:val="24"/>
          <w:szCs w:val="24"/>
          <w:lang w:val="en-US"/>
        </w:rPr>
        <w:t>bw</w:t>
      </w:r>
      <w:proofErr w:type="gramEnd"/>
      <w:r>
        <w:rPr>
          <w:rFonts w:cs="Times New Roman"/>
          <w:sz w:val="24"/>
          <w:szCs w:val="24"/>
          <w:lang w:val="en-US"/>
        </w:rPr>
        <w:t>. The corresponding standard deviation was 13.0. As with brodifacoum, diphacinone concentrations in mice were assumed not to change over time given the persistence of this pesticide in tissues (Erickson and Urban, 2004) and the short period of time that mice remain after rodenticide application.</w:t>
      </w:r>
      <w:r w:rsidR="00422E34">
        <w:rPr>
          <w:rFonts w:cs="Times New Roman"/>
          <w:sz w:val="24"/>
          <w:szCs w:val="24"/>
          <w:lang w:val="en-US"/>
        </w:rPr>
        <w:t xml:space="preserve"> </w:t>
      </w:r>
      <w:r w:rsidR="00422E34" w:rsidRPr="0099279C">
        <w:rPr>
          <w:rFonts w:cs="Times New Roman"/>
          <w:sz w:val="24"/>
          <w:szCs w:val="24"/>
          <w:lang w:val="en-US"/>
        </w:rPr>
        <w:t>For each mouse consumed</w:t>
      </w:r>
      <w:r w:rsidR="00422E34">
        <w:rPr>
          <w:rFonts w:cs="Times New Roman"/>
          <w:sz w:val="24"/>
          <w:szCs w:val="24"/>
          <w:lang w:val="en-US"/>
        </w:rPr>
        <w:t xml:space="preserve"> in the diphacinone model</w:t>
      </w:r>
      <w:r w:rsidR="00422E34" w:rsidRPr="0099279C">
        <w:rPr>
          <w:rFonts w:cs="Times New Roman"/>
          <w:sz w:val="24"/>
          <w:szCs w:val="24"/>
          <w:lang w:val="en-US"/>
        </w:rPr>
        <w:t xml:space="preserve">, a value was randomly chosen from a lognormal distribution parameterized with the mean concentration and associated </w:t>
      </w:r>
      <w:r w:rsidR="00422E34">
        <w:rPr>
          <w:rFonts w:cs="Times New Roman"/>
          <w:sz w:val="24"/>
          <w:szCs w:val="24"/>
          <w:lang w:val="en-US"/>
        </w:rPr>
        <w:t>standard deviation</w:t>
      </w:r>
      <w:r w:rsidR="00422E34" w:rsidRPr="0099279C">
        <w:rPr>
          <w:rFonts w:cs="Times New Roman"/>
          <w:sz w:val="24"/>
          <w:szCs w:val="24"/>
          <w:lang w:val="en-US"/>
        </w:rPr>
        <w:t>.</w:t>
      </w:r>
    </w:p>
    <w:p w:rsidR="008F0994" w:rsidRDefault="003B44A3" w:rsidP="0023118F">
      <w:pPr>
        <w:rPr>
          <w:rFonts w:cs="Times New Roman"/>
          <w:sz w:val="24"/>
          <w:szCs w:val="24"/>
          <w:lang w:val="en-US"/>
        </w:rPr>
      </w:pPr>
      <w:r>
        <w:rPr>
          <w:rFonts w:cs="Times New Roman"/>
          <w:sz w:val="24"/>
          <w:szCs w:val="24"/>
          <w:lang w:val="en-US"/>
        </w:rPr>
        <w:t>T</w:t>
      </w:r>
      <w:r w:rsidR="008F0994" w:rsidRPr="0099279C">
        <w:rPr>
          <w:rFonts w:cs="Times New Roman"/>
          <w:sz w:val="24"/>
          <w:szCs w:val="24"/>
          <w:lang w:val="en-US"/>
        </w:rPr>
        <w:t xml:space="preserve">he western gull risk model assumes a 5 day lag time for consuming </w:t>
      </w:r>
      <w:r w:rsidR="006D7D90">
        <w:rPr>
          <w:rFonts w:cs="Times New Roman"/>
          <w:sz w:val="24"/>
          <w:szCs w:val="24"/>
          <w:lang w:val="en-US"/>
        </w:rPr>
        <w:t xml:space="preserve">brodifacoum-contaminated </w:t>
      </w:r>
      <w:r w:rsidR="008F0994" w:rsidRPr="0099279C">
        <w:rPr>
          <w:rFonts w:cs="Times New Roman"/>
          <w:sz w:val="24"/>
          <w:szCs w:val="24"/>
          <w:lang w:val="en-US"/>
        </w:rPr>
        <w:t>mice because this is the length of time required for mice to become intoxicated and thus easily captured (Fisher, 2009).</w:t>
      </w:r>
      <w:r w:rsidR="006D7D90">
        <w:rPr>
          <w:rFonts w:cs="Times New Roman"/>
          <w:sz w:val="24"/>
          <w:szCs w:val="24"/>
          <w:lang w:val="en-US"/>
        </w:rPr>
        <w:t xml:space="preserve"> The corresponding value for diphacinone is 3 days (EPA, 1998).</w:t>
      </w:r>
    </w:p>
    <w:p w:rsidR="003B44A3" w:rsidRPr="0099279C" w:rsidRDefault="003B44A3" w:rsidP="0023118F">
      <w:pPr>
        <w:rPr>
          <w:rFonts w:cs="Times New Roman"/>
          <w:sz w:val="24"/>
          <w:szCs w:val="24"/>
        </w:rPr>
      </w:pPr>
      <w:r>
        <w:rPr>
          <w:rFonts w:cs="Times New Roman"/>
          <w:sz w:val="24"/>
          <w:szCs w:val="24"/>
          <w:lang w:val="en-US"/>
        </w:rPr>
        <w:t>Although the rates of metabolism and elimination of brodifacoum and diphacinone are slow in birds, we incorporated this variable in the western gull model because of the length of the model runs (i.e., 90 days following initial application). Erickson and Urban (2004) reviewed the available literature for birds and determined a tissue half-life of 217 days for brodifacoum and 90 days for diphacinone. Assuming first-order kinetics, the resulting fractions of brodifacoum and diphacinone retained in gull tissues on a daily basis are 0.997 and 0.992, respectively.</w:t>
      </w:r>
    </w:p>
    <w:p w:rsidR="008B316B" w:rsidRPr="0099279C" w:rsidRDefault="008B316B" w:rsidP="00E12359">
      <w:pPr>
        <w:rPr>
          <w:rFonts w:cs="Times New Roman"/>
          <w:sz w:val="24"/>
          <w:szCs w:val="24"/>
          <w:lang w:val="en-US"/>
        </w:rPr>
        <w:sectPr w:rsidR="008B316B" w:rsidRPr="0099279C" w:rsidSect="00565C3A">
          <w:pgSz w:w="12240" w:h="15840"/>
          <w:pgMar w:top="1440" w:right="1440" w:bottom="1440" w:left="1440" w:header="708" w:footer="708" w:gutter="0"/>
          <w:cols w:space="708"/>
          <w:docGrid w:linePitch="360"/>
        </w:sectPr>
      </w:pPr>
    </w:p>
    <w:p w:rsidR="00824A63" w:rsidRPr="0099279C" w:rsidRDefault="0037403A" w:rsidP="003D4D0A">
      <w:pPr>
        <w:pStyle w:val="Heading1"/>
      </w:pPr>
      <w:bookmarkStart w:id="27" w:name="_Toc343007929"/>
      <w:r w:rsidRPr="0099279C">
        <w:t>Effects Characterization</w:t>
      </w:r>
      <w:bookmarkEnd w:id="27"/>
    </w:p>
    <w:p w:rsidR="002B5AF3" w:rsidRDefault="002B5AF3" w:rsidP="0039040C">
      <w:pPr>
        <w:rPr>
          <w:rFonts w:cs="Times New Roman"/>
          <w:sz w:val="24"/>
          <w:szCs w:val="24"/>
        </w:rPr>
      </w:pPr>
      <w:r>
        <w:rPr>
          <w:rFonts w:cs="Times New Roman"/>
          <w:sz w:val="24"/>
          <w:szCs w:val="24"/>
        </w:rPr>
        <w:t>In this chapter, we derive effects metrics (i.e., dose-response curves) for gulls or surrogate species exposed to brodifacoum and diphacinone. The chapter concludes with a discussion of the pros and cons of using effects metrics from oral gavage studies versus dietary studies because the latter are much more available for rodenticides but are generally considered to be of low relevance in avian risk assessments for pesticides.</w:t>
      </w:r>
    </w:p>
    <w:p w:rsidR="001A513E" w:rsidRDefault="002B5AF3">
      <w:pPr>
        <w:pStyle w:val="Heading2"/>
      </w:pPr>
      <w:bookmarkStart w:id="28" w:name="_Toc343007930"/>
      <w:r>
        <w:t>Effects metrics for brodifacoum</w:t>
      </w:r>
      <w:bookmarkEnd w:id="28"/>
    </w:p>
    <w:p w:rsidR="006B35EB" w:rsidRDefault="00D24F61" w:rsidP="0039040C">
      <w:pPr>
        <w:rPr>
          <w:rFonts w:cs="Times New Roman"/>
          <w:sz w:val="24"/>
          <w:szCs w:val="24"/>
        </w:rPr>
      </w:pPr>
      <w:r>
        <w:rPr>
          <w:rFonts w:cs="Times New Roman"/>
          <w:sz w:val="24"/>
          <w:szCs w:val="24"/>
        </w:rPr>
        <w:t xml:space="preserve">The available information on the acute toxicity of brodifacoum to various bird species is summarized in </w:t>
      </w:r>
      <w:r w:rsidRPr="00D24F61">
        <w:rPr>
          <w:sz w:val="24"/>
          <w:szCs w:val="24"/>
        </w:rPr>
        <w:t>Table 4</w:t>
      </w:r>
      <w:r>
        <w:rPr>
          <w:rFonts w:cs="Times New Roman"/>
          <w:sz w:val="24"/>
          <w:szCs w:val="24"/>
        </w:rPr>
        <w:t xml:space="preserve">-1. Avian LD50s range over nearly two orders of magnitude from 0.26 mg ai/kg </w:t>
      </w:r>
      <w:proofErr w:type="gramStart"/>
      <w:r>
        <w:rPr>
          <w:rFonts w:cs="Times New Roman"/>
          <w:sz w:val="24"/>
          <w:szCs w:val="24"/>
        </w:rPr>
        <w:t>bw</w:t>
      </w:r>
      <w:proofErr w:type="gramEnd"/>
      <w:r>
        <w:rPr>
          <w:rFonts w:cs="Times New Roman"/>
          <w:sz w:val="24"/>
          <w:szCs w:val="24"/>
        </w:rPr>
        <w:t xml:space="preserve"> for the mallard (</w:t>
      </w:r>
      <w:r>
        <w:rPr>
          <w:rFonts w:cs="Times New Roman"/>
          <w:i/>
          <w:sz w:val="24"/>
          <w:szCs w:val="24"/>
        </w:rPr>
        <w:t>Anas platyrhynchos</w:t>
      </w:r>
      <w:r>
        <w:rPr>
          <w:rFonts w:cs="Times New Roman"/>
          <w:sz w:val="24"/>
          <w:szCs w:val="24"/>
        </w:rPr>
        <w:t>) to 20 mg ai/kg bw for the Paradise shelduck (</w:t>
      </w:r>
      <w:r>
        <w:rPr>
          <w:rFonts w:cs="Times New Roman"/>
          <w:i/>
          <w:sz w:val="24"/>
          <w:szCs w:val="24"/>
        </w:rPr>
        <w:t>Tadorna variegata</w:t>
      </w:r>
      <w:r>
        <w:rPr>
          <w:rFonts w:cs="Times New Roman"/>
          <w:sz w:val="24"/>
          <w:szCs w:val="24"/>
        </w:rPr>
        <w:t xml:space="preserve">). By comparison, Erickson and Urban (2004) noted that the warfarin LD50 for the mallard is 620 mg ai/kg </w:t>
      </w:r>
      <w:proofErr w:type="gramStart"/>
      <w:r>
        <w:rPr>
          <w:rFonts w:cs="Times New Roman"/>
          <w:sz w:val="24"/>
          <w:szCs w:val="24"/>
        </w:rPr>
        <w:t>bw</w:t>
      </w:r>
      <w:proofErr w:type="gramEnd"/>
      <w:r>
        <w:rPr>
          <w:rFonts w:cs="Times New Roman"/>
          <w:sz w:val="24"/>
          <w:szCs w:val="24"/>
        </w:rPr>
        <w:t xml:space="preserve">. </w:t>
      </w:r>
    </w:p>
    <w:tbl>
      <w:tblPr>
        <w:tblW w:w="622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268"/>
        <w:gridCol w:w="1843"/>
      </w:tblGrid>
      <w:tr w:rsidR="00AD44FF" w:rsidRPr="0099279C" w:rsidTr="00AD44FF">
        <w:trPr>
          <w:trHeight w:val="300"/>
          <w:tblHeader/>
          <w:jc w:val="center"/>
        </w:trPr>
        <w:tc>
          <w:tcPr>
            <w:tcW w:w="6223" w:type="dxa"/>
            <w:gridSpan w:val="3"/>
            <w:tcBorders>
              <w:top w:val="nil"/>
              <w:left w:val="nil"/>
              <w:right w:val="nil"/>
            </w:tcBorders>
            <w:shd w:val="clear" w:color="auto" w:fill="auto"/>
            <w:noWrap/>
            <w:vAlign w:val="center"/>
            <w:hideMark/>
          </w:tcPr>
          <w:p w:rsidR="001A513E" w:rsidRDefault="00AD44FF">
            <w:pPr>
              <w:spacing w:after="0"/>
              <w:rPr>
                <w:rFonts w:cs="Times New Roman"/>
                <w:b/>
              </w:rPr>
            </w:pPr>
            <w:r w:rsidRPr="0099279C">
              <w:rPr>
                <w:rFonts w:cs="Times New Roman"/>
                <w:b/>
                <w:sz w:val="24"/>
                <w:szCs w:val="24"/>
              </w:rPr>
              <w:t>Table 4-1. Acute toxicity of brodifacoum to avian species (modified from Erickson and Urban, 2004; Godfrey, 1985; Eason et al., 200</w:t>
            </w:r>
            <w:r w:rsidR="002C20D5">
              <w:rPr>
                <w:rFonts w:cs="Times New Roman"/>
                <w:b/>
                <w:sz w:val="24"/>
                <w:szCs w:val="24"/>
              </w:rPr>
              <w:t>2</w:t>
            </w:r>
            <w:r w:rsidRPr="0099279C">
              <w:rPr>
                <w:rFonts w:cs="Times New Roman"/>
                <w:b/>
                <w:sz w:val="24"/>
                <w:szCs w:val="24"/>
              </w:rPr>
              <w:t>; Bowie and Ross, 2006).</w:t>
            </w:r>
          </w:p>
        </w:tc>
      </w:tr>
      <w:tr w:rsidR="00E17981" w:rsidRPr="0099279C" w:rsidTr="00AD44FF">
        <w:trPr>
          <w:trHeight w:val="300"/>
          <w:tblHeader/>
          <w:jc w:val="center"/>
        </w:trPr>
        <w:tc>
          <w:tcPr>
            <w:tcW w:w="2112"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Species</w:t>
            </w:r>
          </w:p>
        </w:tc>
        <w:tc>
          <w:tcPr>
            <w:tcW w:w="2268"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LD50 (mg ai/kg bw)</w:t>
            </w:r>
          </w:p>
        </w:tc>
        <w:tc>
          <w:tcPr>
            <w:tcW w:w="1843"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Reference</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0.26</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EPA, 1998a</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Canada goose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Southern black-backed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Purple gallinule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Pukeko</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Hedge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1985</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California quail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3.3</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4.6</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Black-billed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&lt;5a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House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Silvereye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Ring-necked pheasant</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Australasian harrier</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Paradise shelduck</w:t>
            </w:r>
          </w:p>
        </w:tc>
        <w:tc>
          <w:tcPr>
            <w:tcW w:w="2268" w:type="dxa"/>
            <w:tcBorders>
              <w:bottom w:val="single" w:sz="4" w:space="0" w:color="auto"/>
            </w:tcBorders>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&gt;20</w:t>
            </w:r>
            <w:r w:rsidRPr="00D24F61">
              <w:rPr>
                <w:rFonts w:cs="Times New Roman"/>
                <w:sz w:val="20"/>
                <w:szCs w:val="20"/>
                <w:vertAlign w:val="superscript"/>
              </w:rPr>
              <w:t>b</w:t>
            </w:r>
          </w:p>
        </w:tc>
        <w:tc>
          <w:tcPr>
            <w:tcW w:w="1843"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6223" w:type="dxa"/>
            <w:gridSpan w:val="3"/>
            <w:tcBorders>
              <w:left w:val="nil"/>
              <w:bottom w:val="nil"/>
              <w:right w:val="nil"/>
            </w:tcBorders>
            <w:shd w:val="clear" w:color="auto" w:fill="auto"/>
            <w:noWrap/>
            <w:vAlign w:val="center"/>
            <w:hideMark/>
          </w:tcPr>
          <w:p w:rsidR="00E17981" w:rsidRPr="00AD44FF" w:rsidRDefault="00D24F61" w:rsidP="00F809C5">
            <w:pPr>
              <w:spacing w:after="0"/>
              <w:rPr>
                <w:rFonts w:cs="Times New Roman"/>
                <w:sz w:val="18"/>
                <w:szCs w:val="18"/>
              </w:rPr>
            </w:pPr>
            <w:r w:rsidRPr="00D24F61">
              <w:rPr>
                <w:rFonts w:cs="Times New Roman"/>
                <w:sz w:val="18"/>
                <w:szCs w:val="18"/>
                <w:vertAlign w:val="superscript"/>
              </w:rPr>
              <w:t>a</w:t>
            </w:r>
            <w:r w:rsidRPr="00D24F61">
              <w:rPr>
                <w:rFonts w:cs="Times New Roman"/>
                <w:sz w:val="18"/>
                <w:szCs w:val="18"/>
              </w:rPr>
              <w:t xml:space="preserve"> the lowest concentration tested</w:t>
            </w:r>
          </w:p>
          <w:p w:rsidR="00E17981" w:rsidRPr="00AD44FF" w:rsidRDefault="00D24F61" w:rsidP="00F809C5">
            <w:pPr>
              <w:spacing w:after="0"/>
              <w:rPr>
                <w:rFonts w:cs="Times New Roman"/>
                <w:sz w:val="18"/>
                <w:szCs w:val="18"/>
              </w:rPr>
            </w:pPr>
            <w:r w:rsidRPr="00D24F61">
              <w:rPr>
                <w:rFonts w:cs="Times New Roman"/>
                <w:sz w:val="18"/>
                <w:szCs w:val="18"/>
                <w:vertAlign w:val="superscript"/>
              </w:rPr>
              <w:t>b</w:t>
            </w:r>
            <w:r w:rsidRPr="00D24F61">
              <w:rPr>
                <w:rFonts w:cs="Times New Roman"/>
                <w:sz w:val="18"/>
                <w:szCs w:val="18"/>
              </w:rPr>
              <w:t xml:space="preserve"> the highest concentration tested</w:t>
            </w:r>
          </w:p>
          <w:p w:rsidR="00E17981" w:rsidRPr="0099279C" w:rsidRDefault="00E17981" w:rsidP="00F809C5">
            <w:pPr>
              <w:spacing w:after="0"/>
              <w:rPr>
                <w:rFonts w:cs="Times New Roman"/>
                <w:sz w:val="24"/>
                <w:szCs w:val="24"/>
              </w:rPr>
            </w:pPr>
          </w:p>
        </w:tc>
      </w:tr>
    </w:tbl>
    <w:p w:rsidR="00D36257" w:rsidRPr="0099279C" w:rsidRDefault="00D36257" w:rsidP="00D36257">
      <w:pPr>
        <w:rPr>
          <w:rFonts w:cs="Times New Roman"/>
          <w:sz w:val="24"/>
          <w:szCs w:val="24"/>
          <w:lang w:val="en-US"/>
        </w:rPr>
      </w:pPr>
      <w:r w:rsidRPr="0099279C">
        <w:rPr>
          <w:rFonts w:cs="Times New Roman"/>
          <w:sz w:val="24"/>
          <w:szCs w:val="24"/>
          <w:lang w:val="en-US"/>
        </w:rPr>
        <w:t xml:space="preserve">Because this assessment focused on consumption of pellets and mice over a long period of time, the preferred effects metric </w:t>
      </w:r>
      <w:r w:rsidR="00AD44FF">
        <w:rPr>
          <w:rFonts w:cs="Times New Roman"/>
          <w:sz w:val="24"/>
          <w:szCs w:val="24"/>
          <w:lang w:val="en-US"/>
        </w:rPr>
        <w:t>would be from a dietary exposure study</w:t>
      </w:r>
      <w:r w:rsidRPr="0099279C">
        <w:rPr>
          <w:rFonts w:cs="Times New Roman"/>
          <w:sz w:val="24"/>
          <w:szCs w:val="24"/>
          <w:lang w:val="en-US"/>
        </w:rPr>
        <w:t xml:space="preserve">. The dietary route of exposure is preferred over oral gavage exposures (i.e., acute oral tests) because gavage exposures are </w:t>
      </w:r>
      <w:r w:rsidR="00AD44FF">
        <w:rPr>
          <w:rFonts w:cs="Times New Roman"/>
          <w:sz w:val="24"/>
          <w:szCs w:val="24"/>
          <w:lang w:val="en-US"/>
        </w:rPr>
        <w:t>generally relevant</w:t>
      </w:r>
      <w:r w:rsidRPr="0099279C">
        <w:rPr>
          <w:rFonts w:cs="Times New Roman"/>
          <w:sz w:val="24"/>
          <w:szCs w:val="24"/>
          <w:lang w:val="en-US"/>
        </w:rPr>
        <w:t xml:space="preserve"> to situations where active ingredients are ingested rapidly</w:t>
      </w:r>
      <w:r w:rsidR="004960DA">
        <w:rPr>
          <w:rFonts w:cs="Times New Roman"/>
          <w:sz w:val="24"/>
          <w:szCs w:val="24"/>
          <w:lang w:val="en-US"/>
        </w:rPr>
        <w:t xml:space="preserve"> and in large doses</w:t>
      </w:r>
      <w:r w:rsidRPr="0099279C">
        <w:rPr>
          <w:rFonts w:cs="Times New Roman"/>
          <w:sz w:val="24"/>
          <w:szCs w:val="24"/>
          <w:lang w:val="en-US"/>
        </w:rPr>
        <w:t xml:space="preserve"> (</w:t>
      </w:r>
      <w:r w:rsidR="004960DA">
        <w:rPr>
          <w:rFonts w:cs="Times New Roman"/>
          <w:sz w:val="24"/>
          <w:szCs w:val="24"/>
          <w:lang w:val="en-US"/>
        </w:rPr>
        <w:t>e.g</w:t>
      </w:r>
      <w:r w:rsidRPr="0099279C">
        <w:rPr>
          <w:rFonts w:cs="Times New Roman"/>
          <w:sz w:val="24"/>
          <w:szCs w:val="24"/>
          <w:lang w:val="en-US"/>
        </w:rPr>
        <w:t xml:space="preserve">., </w:t>
      </w:r>
      <w:r w:rsidR="004960DA">
        <w:rPr>
          <w:rFonts w:cs="Times New Roman"/>
          <w:sz w:val="24"/>
          <w:szCs w:val="24"/>
          <w:lang w:val="en-US"/>
        </w:rPr>
        <w:t>consumption of pesticide granules</w:t>
      </w:r>
      <w:r w:rsidRPr="0099279C">
        <w:rPr>
          <w:rFonts w:cs="Times New Roman"/>
          <w:sz w:val="24"/>
          <w:szCs w:val="24"/>
          <w:lang w:val="en-US"/>
        </w:rPr>
        <w:t xml:space="preserve">) (ECOFRAM, 1999; EPA, 2004). </w:t>
      </w:r>
    </w:p>
    <w:p w:rsidR="00B43A57" w:rsidRPr="0099279C" w:rsidRDefault="00DA66B8" w:rsidP="00D36257">
      <w:pPr>
        <w:rPr>
          <w:rFonts w:cs="Times New Roman"/>
          <w:sz w:val="24"/>
          <w:szCs w:val="24"/>
          <w:lang w:val="en-US"/>
        </w:rPr>
      </w:pPr>
      <w:r w:rsidRPr="0099279C">
        <w:rPr>
          <w:rFonts w:cs="Times New Roman"/>
          <w:sz w:val="24"/>
          <w:szCs w:val="24"/>
          <w:lang w:val="en-US"/>
        </w:rPr>
        <w:t xml:space="preserve">In our assessment, we assumed that sensitivity of western gulls to brodifacoum exposure was in the range demonstrated for other gull species. </w:t>
      </w:r>
      <w:r w:rsidR="00D36257" w:rsidRPr="0099279C">
        <w:rPr>
          <w:rFonts w:cs="Times New Roman"/>
          <w:sz w:val="24"/>
          <w:szCs w:val="24"/>
          <w:lang w:val="en-US"/>
        </w:rPr>
        <w:t>Based on reviews conducted by Godfrey (1985), Eason et al. (2002), Erickson and Urban (200</w:t>
      </w:r>
      <w:r w:rsidR="006C3892" w:rsidRPr="0099279C">
        <w:rPr>
          <w:rFonts w:cs="Times New Roman"/>
          <w:sz w:val="24"/>
          <w:szCs w:val="24"/>
          <w:lang w:val="en-US"/>
        </w:rPr>
        <w:t>4</w:t>
      </w:r>
      <w:r w:rsidR="00D36257" w:rsidRPr="0099279C">
        <w:rPr>
          <w:rFonts w:cs="Times New Roman"/>
          <w:sz w:val="24"/>
          <w:szCs w:val="24"/>
          <w:lang w:val="en-US"/>
        </w:rPr>
        <w:t xml:space="preserve">) and Bowie and Ross (2006), LD50s for gull species ranged from &lt;0.75 mg ai/kg </w:t>
      </w:r>
      <w:proofErr w:type="gramStart"/>
      <w:r w:rsidR="00D36257" w:rsidRPr="0099279C">
        <w:rPr>
          <w:rFonts w:cs="Times New Roman"/>
          <w:sz w:val="24"/>
          <w:szCs w:val="24"/>
          <w:lang w:val="en-US"/>
        </w:rPr>
        <w:t>bw</w:t>
      </w:r>
      <w:proofErr w:type="gramEnd"/>
      <w:r w:rsidR="00D36257" w:rsidRPr="0099279C">
        <w:rPr>
          <w:rFonts w:cs="Times New Roman"/>
          <w:sz w:val="24"/>
          <w:szCs w:val="24"/>
          <w:lang w:val="en-US"/>
        </w:rPr>
        <w:t xml:space="preserve"> for the southern black-backed gull (</w:t>
      </w:r>
      <w:r w:rsidR="00D36257" w:rsidRPr="0099279C">
        <w:rPr>
          <w:rFonts w:cs="Times New Roman"/>
          <w:i/>
          <w:sz w:val="24"/>
          <w:szCs w:val="24"/>
          <w:lang w:val="en-US"/>
        </w:rPr>
        <w:t>Larus dominicanus</w:t>
      </w:r>
      <w:r w:rsidR="00D36257" w:rsidRPr="0099279C">
        <w:rPr>
          <w:rFonts w:cs="Times New Roman"/>
          <w:sz w:val="24"/>
          <w:szCs w:val="24"/>
          <w:lang w:val="en-US"/>
        </w:rPr>
        <w:t>) to &lt;5 mg ai/kg bw for the black-billed gull (</w:t>
      </w:r>
      <w:r w:rsidR="00D36257" w:rsidRPr="0099279C">
        <w:rPr>
          <w:rFonts w:cs="Times New Roman"/>
          <w:i/>
          <w:sz w:val="24"/>
          <w:szCs w:val="24"/>
          <w:lang w:val="en-US"/>
        </w:rPr>
        <w:t>Larus bulleri</w:t>
      </w:r>
      <w:r w:rsidR="00D36257" w:rsidRPr="0099279C">
        <w:rPr>
          <w:rFonts w:cs="Times New Roman"/>
          <w:sz w:val="24"/>
          <w:szCs w:val="24"/>
          <w:lang w:val="en-US"/>
        </w:rPr>
        <w:t>). For both species, however, the lowest dose tested caused greater than 50% mortality. Thus, there were insufficient data for deriving dose-response curves. Although not included in the above reviews, d</w:t>
      </w:r>
      <w:r w:rsidR="00B43A57" w:rsidRPr="0099279C">
        <w:rPr>
          <w:rFonts w:cs="Times New Roman"/>
          <w:sz w:val="24"/>
          <w:szCs w:val="24"/>
          <w:lang w:val="en-US"/>
        </w:rPr>
        <w:t>ietary toxicity data of sufficient quality were available</w:t>
      </w:r>
      <w:r w:rsidR="007C224F" w:rsidRPr="0099279C">
        <w:rPr>
          <w:rFonts w:cs="Times New Roman"/>
          <w:sz w:val="24"/>
          <w:szCs w:val="24"/>
          <w:lang w:val="en-US"/>
        </w:rPr>
        <w:t xml:space="preserve"> </w:t>
      </w:r>
      <w:r w:rsidR="00B43A57" w:rsidRPr="0099279C">
        <w:rPr>
          <w:rFonts w:cs="Times New Roman"/>
          <w:sz w:val="24"/>
          <w:szCs w:val="24"/>
          <w:lang w:val="en-US"/>
        </w:rPr>
        <w:t>to derive a dose-response curve for the laughing gull (</w:t>
      </w:r>
      <w:r w:rsidR="00B43A57" w:rsidRPr="0099279C">
        <w:rPr>
          <w:rFonts w:cs="Times New Roman"/>
          <w:i/>
          <w:sz w:val="24"/>
          <w:szCs w:val="24"/>
          <w:lang w:val="en-US"/>
        </w:rPr>
        <w:t>Larus atricilla</w:t>
      </w:r>
      <w:r w:rsidR="00B43A57" w:rsidRPr="0099279C">
        <w:rPr>
          <w:rFonts w:cs="Times New Roman"/>
          <w:sz w:val="24"/>
          <w:szCs w:val="24"/>
          <w:lang w:val="en-US"/>
        </w:rPr>
        <w:t>). The toxicity data were from two studies conducted by Wildlife International (1979a</w:t>
      </w:r>
      <w:proofErr w:type="gramStart"/>
      <w:r w:rsidR="00B43A57" w:rsidRPr="0099279C">
        <w:rPr>
          <w:rFonts w:cs="Times New Roman"/>
          <w:sz w:val="24"/>
          <w:szCs w:val="24"/>
          <w:lang w:val="en-US"/>
        </w:rPr>
        <w:t>,b</w:t>
      </w:r>
      <w:proofErr w:type="gramEnd"/>
      <w:r w:rsidR="00B43A57" w:rsidRPr="0099279C">
        <w:rPr>
          <w:rFonts w:cs="Times New Roman"/>
          <w:sz w:val="24"/>
          <w:szCs w:val="24"/>
          <w:lang w:val="en-US"/>
        </w:rPr>
        <w:t>). Birds were acclimated for t</w:t>
      </w:r>
      <w:r w:rsidR="008F29BC" w:rsidRPr="0099279C">
        <w:rPr>
          <w:rFonts w:cs="Times New Roman"/>
          <w:sz w:val="24"/>
          <w:szCs w:val="24"/>
          <w:lang w:val="en-US"/>
        </w:rPr>
        <w:t>wo</w:t>
      </w:r>
      <w:r w:rsidR="00B43A57" w:rsidRPr="0099279C">
        <w:rPr>
          <w:rFonts w:cs="Times New Roman"/>
          <w:sz w:val="24"/>
          <w:szCs w:val="24"/>
          <w:lang w:val="en-US"/>
        </w:rPr>
        <w:t xml:space="preserve"> weeks at which point they </w:t>
      </w:r>
      <w:r w:rsidR="008F29BC" w:rsidRPr="0099279C">
        <w:rPr>
          <w:rFonts w:cs="Times New Roman"/>
          <w:sz w:val="24"/>
          <w:szCs w:val="24"/>
          <w:lang w:val="en-US"/>
        </w:rPr>
        <w:t>were randomly assigned to either a control diet consisting of toxicant-free masticated rodent tissue or one of ten treatment diets (both studies combined) consisting of spiked masticated rodent tissue</w:t>
      </w:r>
      <w:r w:rsidR="00B43A57" w:rsidRPr="0099279C">
        <w:rPr>
          <w:rFonts w:cs="Times New Roman"/>
          <w:sz w:val="24"/>
          <w:szCs w:val="24"/>
          <w:lang w:val="en-US"/>
        </w:rPr>
        <w:t xml:space="preserve">. </w:t>
      </w:r>
      <w:r w:rsidR="008F29BC" w:rsidRPr="0099279C">
        <w:rPr>
          <w:rFonts w:cs="Times New Roman"/>
          <w:sz w:val="24"/>
          <w:szCs w:val="24"/>
          <w:lang w:val="en-US"/>
        </w:rPr>
        <w:t xml:space="preserve">Five birds were placed in each dietary treatment. Exposure continued for </w:t>
      </w:r>
      <w:r w:rsidR="0005147A" w:rsidRPr="0099279C">
        <w:rPr>
          <w:rFonts w:cs="Times New Roman"/>
          <w:sz w:val="24"/>
          <w:szCs w:val="24"/>
          <w:lang w:val="en-US"/>
        </w:rPr>
        <w:t>5</w:t>
      </w:r>
      <w:r w:rsidR="008F29BC" w:rsidRPr="0099279C">
        <w:rPr>
          <w:rFonts w:cs="Times New Roman"/>
          <w:sz w:val="24"/>
          <w:szCs w:val="24"/>
          <w:lang w:val="en-US"/>
        </w:rPr>
        <w:t xml:space="preserve"> days followed by an additional</w:t>
      </w:r>
      <w:r w:rsidR="00D45BAB" w:rsidRPr="0099279C">
        <w:rPr>
          <w:rFonts w:cs="Times New Roman"/>
          <w:sz w:val="24"/>
          <w:szCs w:val="24"/>
          <w:lang w:val="en-US"/>
        </w:rPr>
        <w:t xml:space="preserve"> </w:t>
      </w:r>
      <w:r w:rsidR="0005147A" w:rsidRPr="0099279C">
        <w:rPr>
          <w:rFonts w:cs="Times New Roman"/>
          <w:sz w:val="24"/>
          <w:szCs w:val="24"/>
          <w:lang w:val="en-US"/>
        </w:rPr>
        <w:t>5-</w:t>
      </w:r>
      <w:r w:rsidR="008F29BC" w:rsidRPr="0099279C">
        <w:rPr>
          <w:rFonts w:cs="Times New Roman"/>
          <w:sz w:val="24"/>
          <w:szCs w:val="24"/>
          <w:lang w:val="en-US"/>
        </w:rPr>
        <w:t>week exposure period in which all birds were maintained on a diet of Southern States cat food</w:t>
      </w:r>
      <w:r w:rsidR="00B43A57" w:rsidRPr="0099279C">
        <w:rPr>
          <w:rFonts w:cs="Times New Roman"/>
          <w:sz w:val="24"/>
          <w:szCs w:val="24"/>
          <w:lang w:val="en-US"/>
        </w:rPr>
        <w:t>.</w:t>
      </w:r>
      <w:r w:rsidR="00245DEB" w:rsidRPr="0099279C">
        <w:rPr>
          <w:rFonts w:cs="Times New Roman"/>
          <w:sz w:val="24"/>
          <w:szCs w:val="24"/>
          <w:lang w:val="en-US"/>
        </w:rPr>
        <w:t xml:space="preserve"> </w:t>
      </w:r>
    </w:p>
    <w:p w:rsidR="00FF19BC" w:rsidRPr="0099279C" w:rsidRDefault="004E21AA" w:rsidP="00FF19BC">
      <w:pPr>
        <w:pStyle w:val="ListParagraph"/>
        <w:ind w:left="0"/>
        <w:rPr>
          <w:rFonts w:cs="Times New Roman"/>
          <w:sz w:val="24"/>
          <w:szCs w:val="24"/>
          <w:lang w:val="en-US"/>
        </w:rPr>
      </w:pPr>
      <w:r w:rsidRPr="0099279C">
        <w:rPr>
          <w:rFonts w:cs="Times New Roman"/>
          <w:sz w:val="24"/>
          <w:szCs w:val="24"/>
          <w:lang w:val="en-US"/>
        </w:rPr>
        <w:t xml:space="preserve">For the statistical analysis, daily treatment dose was calculated by multiplying treatment concentration by the </w:t>
      </w:r>
      <w:r w:rsidR="004960DA">
        <w:rPr>
          <w:rFonts w:cs="Times New Roman"/>
          <w:sz w:val="24"/>
          <w:szCs w:val="24"/>
          <w:lang w:val="en-US"/>
        </w:rPr>
        <w:t xml:space="preserve">corresponding </w:t>
      </w:r>
      <w:r w:rsidRPr="0099279C">
        <w:rPr>
          <w:rFonts w:cs="Times New Roman"/>
          <w:sz w:val="24"/>
          <w:szCs w:val="24"/>
          <w:lang w:val="en-US"/>
        </w:rPr>
        <w:t xml:space="preserve">average measured food intake rate. The daily treatment doses were then normalized to average gull body weight (average </w:t>
      </w:r>
      <w:proofErr w:type="gramStart"/>
      <w:r w:rsidRPr="0099279C">
        <w:rPr>
          <w:rFonts w:cs="Times New Roman"/>
          <w:sz w:val="24"/>
          <w:szCs w:val="24"/>
          <w:lang w:val="en-US"/>
        </w:rPr>
        <w:t xml:space="preserve">of 5 gulls/treatment </w:t>
      </w:r>
      <w:r w:rsidR="004960DA">
        <w:rPr>
          <w:rFonts w:cs="Times New Roman"/>
          <w:sz w:val="24"/>
          <w:szCs w:val="24"/>
          <w:lang w:val="en-US"/>
        </w:rPr>
        <w:t>on</w:t>
      </w:r>
      <w:r w:rsidR="004960DA" w:rsidRPr="0099279C">
        <w:rPr>
          <w:rFonts w:cs="Times New Roman"/>
          <w:sz w:val="24"/>
          <w:szCs w:val="24"/>
          <w:lang w:val="en-US"/>
        </w:rPr>
        <w:t xml:space="preserve"> </w:t>
      </w:r>
      <w:r w:rsidRPr="0099279C">
        <w:rPr>
          <w:rFonts w:cs="Times New Roman"/>
          <w:sz w:val="24"/>
          <w:szCs w:val="24"/>
          <w:lang w:val="en-US"/>
        </w:rPr>
        <w:t>day</w:t>
      </w:r>
      <w:r w:rsidR="004960DA">
        <w:rPr>
          <w:rFonts w:cs="Times New Roman"/>
          <w:sz w:val="24"/>
          <w:szCs w:val="24"/>
          <w:lang w:val="en-US"/>
        </w:rPr>
        <w:t>s</w:t>
      </w:r>
      <w:r w:rsidRPr="0099279C">
        <w:rPr>
          <w:rFonts w:cs="Times New Roman"/>
          <w:sz w:val="24"/>
          <w:szCs w:val="24"/>
          <w:lang w:val="en-US"/>
        </w:rPr>
        <w:t xml:space="preserve"> 0 and 6</w:t>
      </w:r>
      <w:proofErr w:type="gramEnd"/>
      <w:r w:rsidRPr="0099279C">
        <w:rPr>
          <w:rFonts w:cs="Times New Roman"/>
          <w:sz w:val="24"/>
          <w:szCs w:val="24"/>
          <w:lang w:val="en-US"/>
        </w:rPr>
        <w:t xml:space="preserve">). Finally, the doses were summed across the </w:t>
      </w:r>
      <w:r w:rsidR="0005147A" w:rsidRPr="0099279C">
        <w:rPr>
          <w:rFonts w:cs="Times New Roman"/>
          <w:sz w:val="24"/>
          <w:szCs w:val="24"/>
          <w:lang w:val="en-US"/>
        </w:rPr>
        <w:t>5</w:t>
      </w:r>
      <w:r w:rsidRPr="0099279C">
        <w:rPr>
          <w:rFonts w:cs="Times New Roman"/>
          <w:sz w:val="24"/>
          <w:szCs w:val="24"/>
          <w:lang w:val="en-US"/>
        </w:rPr>
        <w:t xml:space="preserve"> days of exposure. The latter step assumes that metabolism </w:t>
      </w:r>
      <w:r w:rsidR="004960DA">
        <w:rPr>
          <w:rFonts w:cs="Times New Roman"/>
          <w:sz w:val="24"/>
          <w:szCs w:val="24"/>
          <w:lang w:val="en-US"/>
        </w:rPr>
        <w:t xml:space="preserve">and elimination </w:t>
      </w:r>
      <w:r w:rsidRPr="0099279C">
        <w:rPr>
          <w:rFonts w:cs="Times New Roman"/>
          <w:sz w:val="24"/>
          <w:szCs w:val="24"/>
          <w:lang w:val="en-US"/>
        </w:rPr>
        <w:t>of brodifacoum during the 5-day exposure period would have been minimal, an assumption that has been verified</w:t>
      </w:r>
      <w:r w:rsidR="004960DA">
        <w:rPr>
          <w:rFonts w:cs="Times New Roman"/>
          <w:sz w:val="24"/>
          <w:szCs w:val="24"/>
          <w:lang w:val="en-US"/>
        </w:rPr>
        <w:t xml:space="preserve"> elsewhere</w:t>
      </w:r>
      <w:r w:rsidRPr="0099279C">
        <w:rPr>
          <w:rFonts w:cs="Times New Roman"/>
          <w:sz w:val="24"/>
          <w:szCs w:val="24"/>
          <w:lang w:val="en-US"/>
        </w:rPr>
        <w:t xml:space="preserve"> (</w:t>
      </w:r>
      <w:r w:rsidR="003611BF" w:rsidRPr="0099279C">
        <w:rPr>
          <w:rFonts w:cs="Times New Roman"/>
          <w:sz w:val="24"/>
          <w:szCs w:val="24"/>
          <w:lang w:val="en-US"/>
        </w:rPr>
        <w:t>Fisher, 2009</w:t>
      </w:r>
      <w:r w:rsidR="00A8211C" w:rsidRPr="0099279C">
        <w:rPr>
          <w:rFonts w:cs="Times New Roman"/>
          <w:sz w:val="24"/>
          <w:szCs w:val="24"/>
          <w:lang w:val="en-US"/>
        </w:rPr>
        <w:t>; see also Erickson and Urban, 200</w:t>
      </w:r>
      <w:r w:rsidR="00BC4189" w:rsidRPr="0099279C">
        <w:rPr>
          <w:rFonts w:cs="Times New Roman"/>
          <w:sz w:val="24"/>
          <w:szCs w:val="24"/>
          <w:lang w:val="en-US"/>
        </w:rPr>
        <w:t>4</w:t>
      </w:r>
      <w:r w:rsidR="00A8211C" w:rsidRPr="0099279C">
        <w:rPr>
          <w:rFonts w:cs="Times New Roman"/>
          <w:sz w:val="24"/>
          <w:szCs w:val="24"/>
          <w:lang w:val="en-US"/>
        </w:rPr>
        <w:t>)</w:t>
      </w:r>
      <w:r w:rsidR="00875565" w:rsidRPr="0099279C">
        <w:rPr>
          <w:rFonts w:cs="Times New Roman"/>
          <w:sz w:val="24"/>
          <w:szCs w:val="24"/>
          <w:lang w:val="en-US"/>
        </w:rPr>
        <w:t xml:space="preserve">. </w:t>
      </w:r>
      <w:r w:rsidRPr="0099279C">
        <w:rPr>
          <w:rFonts w:cs="Times New Roman"/>
          <w:sz w:val="24"/>
          <w:szCs w:val="24"/>
          <w:lang w:val="en-US"/>
        </w:rPr>
        <w:t>The statistical analysis was carried out in SAS using P</w:t>
      </w:r>
      <w:r w:rsidR="007C224F" w:rsidRPr="0099279C">
        <w:rPr>
          <w:rFonts w:cs="Times New Roman"/>
          <w:sz w:val="24"/>
          <w:szCs w:val="24"/>
          <w:lang w:val="en-US"/>
        </w:rPr>
        <w:t>ROC</w:t>
      </w:r>
      <w:r w:rsidRPr="0099279C">
        <w:rPr>
          <w:rFonts w:cs="Times New Roman"/>
          <w:sz w:val="24"/>
          <w:szCs w:val="24"/>
          <w:lang w:val="en-US"/>
        </w:rPr>
        <w:t xml:space="preserve"> P</w:t>
      </w:r>
      <w:r w:rsidR="007C224F" w:rsidRPr="0099279C">
        <w:rPr>
          <w:rFonts w:cs="Times New Roman"/>
          <w:sz w:val="24"/>
          <w:szCs w:val="24"/>
          <w:lang w:val="en-US"/>
        </w:rPr>
        <w:t>ROBIT</w:t>
      </w:r>
      <w:r w:rsidR="00A8211C" w:rsidRPr="0099279C">
        <w:rPr>
          <w:rFonts w:cs="Times New Roman"/>
          <w:sz w:val="24"/>
          <w:szCs w:val="24"/>
          <w:lang w:val="en-US"/>
        </w:rPr>
        <w:t xml:space="preserve"> with dose log10 transformed</w:t>
      </w:r>
      <w:r w:rsidRPr="0099279C">
        <w:rPr>
          <w:rFonts w:cs="Times New Roman"/>
          <w:sz w:val="24"/>
          <w:szCs w:val="24"/>
          <w:lang w:val="en-US"/>
        </w:rPr>
        <w:t>.</w:t>
      </w:r>
      <w:r w:rsidR="00A8211C" w:rsidRPr="0099279C">
        <w:rPr>
          <w:rFonts w:cs="Times New Roman"/>
          <w:sz w:val="24"/>
          <w:szCs w:val="24"/>
          <w:lang w:val="en-US"/>
        </w:rPr>
        <w:t xml:space="preserve"> The fitted LD50 was 0.58</w:t>
      </w:r>
      <w:r w:rsidR="00BC4189" w:rsidRPr="0099279C">
        <w:rPr>
          <w:rFonts w:cs="Times New Roman"/>
          <w:sz w:val="24"/>
          <w:szCs w:val="24"/>
          <w:lang w:val="en-US"/>
        </w:rPr>
        <w:t>8</w:t>
      </w:r>
      <w:r w:rsidR="00A8211C" w:rsidRPr="0099279C">
        <w:rPr>
          <w:rFonts w:cs="Times New Roman"/>
          <w:sz w:val="24"/>
          <w:szCs w:val="24"/>
          <w:lang w:val="en-US"/>
        </w:rPr>
        <w:t xml:space="preserve"> mg ai/kg </w:t>
      </w:r>
      <w:proofErr w:type="gramStart"/>
      <w:r w:rsidR="00A8211C" w:rsidRPr="0099279C">
        <w:rPr>
          <w:rFonts w:cs="Times New Roman"/>
          <w:sz w:val="24"/>
          <w:szCs w:val="24"/>
          <w:lang w:val="en-US"/>
        </w:rPr>
        <w:t>bw</w:t>
      </w:r>
      <w:proofErr w:type="gramEnd"/>
      <w:r w:rsidR="00A8211C" w:rsidRPr="0099279C">
        <w:rPr>
          <w:rFonts w:cs="Times New Roman"/>
          <w:sz w:val="24"/>
          <w:szCs w:val="24"/>
          <w:lang w:val="en-US"/>
        </w:rPr>
        <w:t xml:space="preserve"> and the probit slope was 2.3</w:t>
      </w:r>
      <w:r w:rsidR="00BC4189" w:rsidRPr="0099279C">
        <w:rPr>
          <w:rFonts w:cs="Times New Roman"/>
          <w:sz w:val="24"/>
          <w:szCs w:val="24"/>
          <w:lang w:val="en-US"/>
        </w:rPr>
        <w:t>2</w:t>
      </w:r>
      <w:r w:rsidR="00A8211C" w:rsidRPr="0099279C">
        <w:rPr>
          <w:rFonts w:cs="Times New Roman"/>
          <w:sz w:val="24"/>
          <w:szCs w:val="24"/>
          <w:lang w:val="en-US"/>
        </w:rPr>
        <w:t xml:space="preserve"> (Figure 4-1).</w:t>
      </w:r>
      <w:r w:rsidR="00FF19BC">
        <w:rPr>
          <w:rFonts w:cs="Times New Roman"/>
          <w:sz w:val="24"/>
          <w:szCs w:val="24"/>
          <w:lang w:val="en-US"/>
        </w:rPr>
        <w:t xml:space="preserve"> </w:t>
      </w:r>
      <w:r w:rsidR="00FF19BC" w:rsidRPr="0099279C">
        <w:rPr>
          <w:rFonts w:cs="Times New Roman"/>
          <w:sz w:val="24"/>
          <w:szCs w:val="24"/>
          <w:lang w:val="en-US"/>
        </w:rPr>
        <w:t>The LD50 of 0.588 mg ai/kg bw derived for laughing gulls is the lowest bounded LD50 reported for gull species (or indeed any bird species)</w:t>
      </w:r>
      <w:r w:rsidR="00FF19BC">
        <w:rPr>
          <w:rFonts w:cs="Times New Roman"/>
          <w:sz w:val="24"/>
          <w:szCs w:val="24"/>
          <w:lang w:val="en-US"/>
        </w:rPr>
        <w:t xml:space="preserve"> exposed to brodifacoum</w:t>
      </w:r>
      <w:r w:rsidR="00FF19BC" w:rsidRPr="0099279C">
        <w:rPr>
          <w:rFonts w:cs="Times New Roman"/>
          <w:sz w:val="24"/>
          <w:szCs w:val="24"/>
          <w:lang w:val="en-US"/>
        </w:rPr>
        <w:t xml:space="preserve">. </w:t>
      </w:r>
    </w:p>
    <w:p w:rsidR="00B43A57" w:rsidRPr="0099279C" w:rsidRDefault="00A8211C" w:rsidP="00A8211C">
      <w:pPr>
        <w:jc w:val="center"/>
        <w:rPr>
          <w:rFonts w:cs="Times New Roman"/>
          <w:sz w:val="24"/>
          <w:szCs w:val="24"/>
          <w:lang w:val="en-US"/>
        </w:rPr>
      </w:pPr>
      <w:r w:rsidRPr="0099279C">
        <w:rPr>
          <w:rFonts w:cs="Times New Roman"/>
          <w:noProof/>
          <w:sz w:val="24"/>
          <w:szCs w:val="24"/>
          <w:lang w:val="en-US"/>
        </w:rPr>
        <w:drawing>
          <wp:inline distT="0" distB="0" distL="0" distR="0" wp14:anchorId="182875ED" wp14:editId="6340D498">
            <wp:extent cx="5164531" cy="4498848"/>
            <wp:effectExtent l="0" t="0" r="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9607E" w:rsidRPr="0099279C" w:rsidRDefault="00A8211C" w:rsidP="00A8211C">
      <w:pPr>
        <w:jc w:val="center"/>
        <w:rPr>
          <w:rFonts w:cs="Times New Roman"/>
          <w:b/>
          <w:sz w:val="24"/>
          <w:szCs w:val="24"/>
          <w:lang w:val="en-US"/>
        </w:rPr>
      </w:pPr>
      <w:proofErr w:type="gramStart"/>
      <w:r w:rsidRPr="0099279C">
        <w:rPr>
          <w:rFonts w:cs="Times New Roman"/>
          <w:b/>
          <w:sz w:val="24"/>
          <w:szCs w:val="24"/>
          <w:lang w:val="en-US"/>
        </w:rPr>
        <w:t>Figure 4-1.</w:t>
      </w:r>
      <w:proofErr w:type="gramEnd"/>
      <w:r w:rsidRPr="0099279C">
        <w:rPr>
          <w:rFonts w:cs="Times New Roman"/>
          <w:b/>
          <w:sz w:val="24"/>
          <w:szCs w:val="24"/>
          <w:lang w:val="en-US"/>
        </w:rPr>
        <w:t xml:space="preserve"> </w:t>
      </w:r>
      <w:proofErr w:type="gramStart"/>
      <w:r w:rsidR="00B43A57" w:rsidRPr="0099279C">
        <w:rPr>
          <w:rFonts w:cs="Times New Roman"/>
          <w:b/>
          <w:sz w:val="24"/>
          <w:szCs w:val="24"/>
          <w:lang w:val="en-US"/>
        </w:rPr>
        <w:t xml:space="preserve">Dose-response relationship for effects of </w:t>
      </w:r>
      <w:r w:rsidRPr="0099279C">
        <w:rPr>
          <w:rFonts w:cs="Times New Roman"/>
          <w:b/>
          <w:sz w:val="24"/>
          <w:szCs w:val="24"/>
          <w:lang w:val="en-US"/>
        </w:rPr>
        <w:t>brodifacoum</w:t>
      </w:r>
      <w:r w:rsidR="00B43A57" w:rsidRPr="0099279C">
        <w:rPr>
          <w:rFonts w:cs="Times New Roman"/>
          <w:b/>
          <w:sz w:val="24"/>
          <w:szCs w:val="24"/>
          <w:lang w:val="en-US"/>
        </w:rPr>
        <w:t xml:space="preserve"> on </w:t>
      </w:r>
      <w:r w:rsidRPr="0099279C">
        <w:rPr>
          <w:rFonts w:cs="Times New Roman"/>
          <w:b/>
          <w:sz w:val="24"/>
          <w:szCs w:val="24"/>
          <w:lang w:val="en-US"/>
        </w:rPr>
        <w:t>laughing gulls</w:t>
      </w:r>
      <w:r w:rsidR="00B43A57" w:rsidRPr="0099279C">
        <w:rPr>
          <w:rFonts w:cs="Times New Roman"/>
          <w:b/>
          <w:sz w:val="24"/>
          <w:szCs w:val="24"/>
          <w:lang w:val="en-US"/>
        </w:rPr>
        <w:t>.</w:t>
      </w:r>
      <w:proofErr w:type="gramEnd"/>
    </w:p>
    <w:p w:rsidR="001A513E" w:rsidRDefault="001A513E">
      <w:pPr>
        <w:pStyle w:val="Heading2"/>
        <w:numPr>
          <w:ilvl w:val="0"/>
          <w:numId w:val="0"/>
        </w:numPr>
        <w:ind w:left="806"/>
      </w:pPr>
    </w:p>
    <w:p w:rsidR="001A513E" w:rsidRDefault="00086B90">
      <w:pPr>
        <w:pStyle w:val="Heading2"/>
      </w:pPr>
      <w:bookmarkStart w:id="29" w:name="_Toc343007931"/>
      <w:r>
        <w:t>effects metrics for diphacinone</w:t>
      </w:r>
      <w:bookmarkEnd w:id="29"/>
    </w:p>
    <w:p w:rsidR="001A513E" w:rsidRDefault="00FD5A46">
      <w:pPr>
        <w:pStyle w:val="Heading2"/>
        <w:numPr>
          <w:ilvl w:val="0"/>
          <w:numId w:val="0"/>
        </w:numPr>
      </w:pPr>
      <w:bookmarkStart w:id="30" w:name="_Toc335836037"/>
      <w:bookmarkStart w:id="31" w:name="_Toc336445301"/>
      <w:bookmarkStart w:id="32" w:name="_Toc343007932"/>
      <w:r>
        <w:rPr>
          <w:rFonts w:eastAsiaTheme="minorHAnsi"/>
          <w:b w:val="0"/>
          <w:caps w:val="0"/>
        </w:rPr>
        <w:t>Relatively few avian toxicity studies have been conducted for diphacinone and none have involved gull species (EPA, 1998</w:t>
      </w:r>
      <w:r w:rsidR="00AA15BB">
        <w:rPr>
          <w:rFonts w:eastAsiaTheme="minorHAnsi"/>
          <w:b w:val="0"/>
          <w:caps w:val="0"/>
        </w:rPr>
        <w:t>a</w:t>
      </w:r>
      <w:r>
        <w:rPr>
          <w:rFonts w:eastAsiaTheme="minorHAnsi"/>
          <w:b w:val="0"/>
          <w:caps w:val="0"/>
        </w:rPr>
        <w:t xml:space="preserve">; Erickson and Urban, 2004; Rattner et al., 2010). </w:t>
      </w:r>
      <w:r w:rsidRPr="00FD5A46">
        <w:rPr>
          <w:rFonts w:eastAsiaTheme="minorHAnsi"/>
          <w:b w:val="0"/>
          <w:caps w:val="0"/>
        </w:rPr>
        <w:t>A</w:t>
      </w:r>
      <w:r>
        <w:rPr>
          <w:rFonts w:eastAsiaTheme="minorHAnsi"/>
          <w:b w:val="0"/>
          <w:caps w:val="0"/>
        </w:rPr>
        <w:t xml:space="preserve"> </w:t>
      </w:r>
      <w:r w:rsidRPr="00FD5A46">
        <w:rPr>
          <w:rFonts w:eastAsiaTheme="minorHAnsi"/>
          <w:b w:val="0"/>
          <w:caps w:val="0"/>
        </w:rPr>
        <w:t xml:space="preserve">reliable </w:t>
      </w:r>
      <w:r>
        <w:rPr>
          <w:rFonts w:eastAsiaTheme="minorHAnsi"/>
          <w:b w:val="0"/>
          <w:caps w:val="0"/>
        </w:rPr>
        <w:t>LD50</w:t>
      </w:r>
      <w:r w:rsidRPr="00FD5A46">
        <w:rPr>
          <w:rFonts w:eastAsiaTheme="minorHAnsi"/>
          <w:b w:val="0"/>
          <w:caps w:val="0"/>
        </w:rPr>
        <w:t xml:space="preserve"> for </w:t>
      </w:r>
      <w:r>
        <w:rPr>
          <w:rFonts w:eastAsiaTheme="minorHAnsi"/>
          <w:b w:val="0"/>
          <w:caps w:val="0"/>
        </w:rPr>
        <w:t xml:space="preserve">northern </w:t>
      </w:r>
      <w:r w:rsidRPr="00FD5A46">
        <w:rPr>
          <w:rFonts w:eastAsiaTheme="minorHAnsi"/>
          <w:b w:val="0"/>
          <w:caps w:val="0"/>
        </w:rPr>
        <w:t>bobwhite</w:t>
      </w:r>
      <w:r>
        <w:rPr>
          <w:rFonts w:eastAsiaTheme="minorHAnsi"/>
          <w:b w:val="0"/>
          <w:caps w:val="0"/>
        </w:rPr>
        <w:t xml:space="preserve"> (</w:t>
      </w:r>
      <w:r w:rsidR="00D24F61" w:rsidRPr="00D24F61">
        <w:rPr>
          <w:rFonts w:eastAsiaTheme="minorHAnsi"/>
          <w:b w:val="0"/>
          <w:i/>
          <w:caps w:val="0"/>
        </w:rPr>
        <w:t>Colinus virginianus</w:t>
      </w:r>
      <w:r>
        <w:rPr>
          <w:rFonts w:eastAsiaTheme="minorHAnsi"/>
          <w:b w:val="0"/>
          <w:caps w:val="0"/>
        </w:rPr>
        <w:t xml:space="preserve">) </w:t>
      </w:r>
      <w:r w:rsidRPr="00FD5A46">
        <w:rPr>
          <w:rFonts w:eastAsiaTheme="minorHAnsi"/>
          <w:b w:val="0"/>
          <w:caps w:val="0"/>
        </w:rPr>
        <w:t xml:space="preserve">could not be estimated </w:t>
      </w:r>
      <w:r>
        <w:rPr>
          <w:rFonts w:eastAsiaTheme="minorHAnsi"/>
          <w:b w:val="0"/>
          <w:caps w:val="0"/>
        </w:rPr>
        <w:t xml:space="preserve">by </w:t>
      </w:r>
      <w:r w:rsidRPr="00FD5A46">
        <w:rPr>
          <w:rFonts w:eastAsiaTheme="minorHAnsi"/>
          <w:b w:val="0"/>
          <w:caps w:val="0"/>
        </w:rPr>
        <w:t>Campbell et</w:t>
      </w:r>
      <w:r>
        <w:rPr>
          <w:rFonts w:eastAsiaTheme="minorHAnsi"/>
          <w:b w:val="0"/>
          <w:caps w:val="0"/>
        </w:rPr>
        <w:t xml:space="preserve"> </w:t>
      </w:r>
      <w:r w:rsidRPr="00FD5A46">
        <w:rPr>
          <w:rFonts w:eastAsiaTheme="minorHAnsi"/>
          <w:b w:val="0"/>
          <w:caps w:val="0"/>
        </w:rPr>
        <w:t xml:space="preserve">al. </w:t>
      </w:r>
      <w:r>
        <w:rPr>
          <w:rFonts w:eastAsiaTheme="minorHAnsi"/>
          <w:b w:val="0"/>
          <w:caps w:val="0"/>
        </w:rPr>
        <w:t>(</w:t>
      </w:r>
      <w:r w:rsidRPr="00FD5A46">
        <w:rPr>
          <w:rFonts w:eastAsiaTheme="minorHAnsi"/>
          <w:b w:val="0"/>
          <w:caps w:val="0"/>
        </w:rPr>
        <w:t xml:space="preserve">1991) </w:t>
      </w:r>
      <w:r>
        <w:rPr>
          <w:rFonts w:eastAsiaTheme="minorHAnsi"/>
          <w:b w:val="0"/>
          <w:caps w:val="0"/>
        </w:rPr>
        <w:t>because</w:t>
      </w:r>
      <w:r w:rsidRPr="00FD5A46">
        <w:rPr>
          <w:rFonts w:eastAsiaTheme="minorHAnsi"/>
          <w:b w:val="0"/>
          <w:caps w:val="0"/>
        </w:rPr>
        <w:t xml:space="preserve"> dosages were separated by a factor of 5</w:t>
      </w:r>
      <w:r>
        <w:rPr>
          <w:rFonts w:eastAsiaTheme="minorHAnsi"/>
          <w:b w:val="0"/>
          <w:caps w:val="0"/>
        </w:rPr>
        <w:t>. EPA (1998</w:t>
      </w:r>
      <w:r w:rsidR="00AA15BB">
        <w:rPr>
          <w:rFonts w:eastAsiaTheme="minorHAnsi"/>
          <w:b w:val="0"/>
          <w:caps w:val="0"/>
        </w:rPr>
        <w:t>a</w:t>
      </w:r>
      <w:r>
        <w:rPr>
          <w:rFonts w:eastAsiaTheme="minorHAnsi"/>
          <w:b w:val="0"/>
          <w:caps w:val="0"/>
        </w:rPr>
        <w:t>), however, suggested that the LD50</w:t>
      </w:r>
      <w:r w:rsidRPr="00FD5A46">
        <w:rPr>
          <w:rFonts w:eastAsiaTheme="minorHAnsi"/>
          <w:b w:val="0"/>
          <w:caps w:val="0"/>
        </w:rPr>
        <w:t xml:space="preserve"> </w:t>
      </w:r>
      <w:r>
        <w:rPr>
          <w:rFonts w:eastAsiaTheme="minorHAnsi"/>
          <w:b w:val="0"/>
          <w:caps w:val="0"/>
        </w:rPr>
        <w:t xml:space="preserve">for northern bobwhite </w:t>
      </w:r>
      <w:r w:rsidRPr="00FD5A46">
        <w:rPr>
          <w:rFonts w:eastAsiaTheme="minorHAnsi"/>
          <w:b w:val="0"/>
          <w:caps w:val="0"/>
        </w:rPr>
        <w:t>fell between 400 and 2000 mg</w:t>
      </w:r>
      <w:r>
        <w:rPr>
          <w:rFonts w:eastAsiaTheme="minorHAnsi"/>
          <w:b w:val="0"/>
          <w:caps w:val="0"/>
        </w:rPr>
        <w:t xml:space="preserve"> ai</w:t>
      </w:r>
      <w:r w:rsidRPr="00FD5A46">
        <w:rPr>
          <w:rFonts w:eastAsiaTheme="minorHAnsi"/>
          <w:b w:val="0"/>
          <w:caps w:val="0"/>
        </w:rPr>
        <w:t>/kg</w:t>
      </w:r>
      <w:r>
        <w:rPr>
          <w:rFonts w:eastAsiaTheme="minorHAnsi"/>
          <w:b w:val="0"/>
          <w:caps w:val="0"/>
        </w:rPr>
        <w:t xml:space="preserve"> </w:t>
      </w:r>
      <w:proofErr w:type="gramStart"/>
      <w:r>
        <w:rPr>
          <w:rFonts w:eastAsiaTheme="minorHAnsi"/>
          <w:b w:val="0"/>
          <w:caps w:val="0"/>
        </w:rPr>
        <w:t>bw</w:t>
      </w:r>
      <w:proofErr w:type="gramEnd"/>
      <w:r w:rsidRPr="00FD5A46">
        <w:rPr>
          <w:rFonts w:eastAsiaTheme="minorHAnsi"/>
          <w:b w:val="0"/>
          <w:caps w:val="0"/>
        </w:rPr>
        <w:t xml:space="preserve">. </w:t>
      </w:r>
      <w:r>
        <w:rPr>
          <w:rFonts w:eastAsiaTheme="minorHAnsi"/>
          <w:b w:val="0"/>
          <w:caps w:val="0"/>
        </w:rPr>
        <w:t xml:space="preserve">A subsequent study by Rattner et al. (2010) </w:t>
      </w:r>
      <w:r w:rsidRPr="00FD5A46">
        <w:rPr>
          <w:rFonts w:eastAsiaTheme="minorHAnsi"/>
          <w:b w:val="0"/>
          <w:caps w:val="0"/>
        </w:rPr>
        <w:t xml:space="preserve">estimated </w:t>
      </w:r>
      <w:r>
        <w:rPr>
          <w:rFonts w:eastAsiaTheme="minorHAnsi"/>
          <w:b w:val="0"/>
          <w:caps w:val="0"/>
        </w:rPr>
        <w:t xml:space="preserve">an </w:t>
      </w:r>
      <w:r w:rsidRPr="00FD5A46">
        <w:rPr>
          <w:rFonts w:eastAsiaTheme="minorHAnsi"/>
          <w:b w:val="0"/>
          <w:caps w:val="0"/>
        </w:rPr>
        <w:t xml:space="preserve">LD50 </w:t>
      </w:r>
      <w:r>
        <w:rPr>
          <w:rFonts w:eastAsiaTheme="minorHAnsi"/>
          <w:b w:val="0"/>
          <w:caps w:val="0"/>
        </w:rPr>
        <w:t>of 2014 mg ai/kg bw for northern bobwhite</w:t>
      </w:r>
      <w:r w:rsidRPr="00FD5A46">
        <w:rPr>
          <w:rFonts w:eastAsiaTheme="minorHAnsi"/>
          <w:b w:val="0"/>
          <w:caps w:val="0"/>
        </w:rPr>
        <w:t xml:space="preserve"> </w:t>
      </w:r>
      <w:r>
        <w:rPr>
          <w:rFonts w:eastAsiaTheme="minorHAnsi"/>
          <w:b w:val="0"/>
          <w:caps w:val="0"/>
        </w:rPr>
        <w:t xml:space="preserve">which is close to the upper bound estimated by EPA (1998) and reasonably close </w:t>
      </w:r>
      <w:r w:rsidR="00CF6B81">
        <w:rPr>
          <w:rFonts w:eastAsiaTheme="minorHAnsi"/>
          <w:b w:val="0"/>
          <w:caps w:val="0"/>
        </w:rPr>
        <w:t xml:space="preserve">to </w:t>
      </w:r>
      <w:r>
        <w:rPr>
          <w:rFonts w:eastAsiaTheme="minorHAnsi"/>
          <w:b w:val="0"/>
          <w:caps w:val="0"/>
        </w:rPr>
        <w:t xml:space="preserve">the LD50 of </w:t>
      </w:r>
      <w:r w:rsidRPr="00FD5A46">
        <w:rPr>
          <w:rFonts w:eastAsiaTheme="minorHAnsi"/>
          <w:b w:val="0"/>
          <w:caps w:val="0"/>
        </w:rPr>
        <w:t>3158</w:t>
      </w:r>
      <w:r>
        <w:rPr>
          <w:rFonts w:eastAsiaTheme="minorHAnsi"/>
          <w:b w:val="0"/>
          <w:caps w:val="0"/>
        </w:rPr>
        <w:t xml:space="preserve"> </w:t>
      </w:r>
      <w:r w:rsidRPr="00FD5A46">
        <w:rPr>
          <w:rFonts w:eastAsiaTheme="minorHAnsi"/>
          <w:b w:val="0"/>
          <w:caps w:val="0"/>
        </w:rPr>
        <w:t>mg</w:t>
      </w:r>
      <w:r>
        <w:rPr>
          <w:rFonts w:eastAsiaTheme="minorHAnsi"/>
          <w:b w:val="0"/>
          <w:caps w:val="0"/>
        </w:rPr>
        <w:t xml:space="preserve"> ai</w:t>
      </w:r>
      <w:r w:rsidRPr="00FD5A46">
        <w:rPr>
          <w:rFonts w:eastAsiaTheme="minorHAnsi"/>
          <w:b w:val="0"/>
          <w:caps w:val="0"/>
        </w:rPr>
        <w:t>/kg</w:t>
      </w:r>
      <w:r>
        <w:rPr>
          <w:rFonts w:eastAsiaTheme="minorHAnsi"/>
          <w:b w:val="0"/>
          <w:caps w:val="0"/>
        </w:rPr>
        <w:t xml:space="preserve"> bw reported </w:t>
      </w:r>
      <w:r w:rsidRPr="00FD5A46">
        <w:rPr>
          <w:rFonts w:eastAsiaTheme="minorHAnsi"/>
          <w:b w:val="0"/>
          <w:caps w:val="0"/>
        </w:rPr>
        <w:t>for mallards (</w:t>
      </w:r>
      <w:r w:rsidR="00D24F61" w:rsidRPr="00D24F61">
        <w:rPr>
          <w:rFonts w:eastAsiaTheme="minorHAnsi"/>
          <w:b w:val="0"/>
          <w:i/>
          <w:caps w:val="0"/>
        </w:rPr>
        <w:t>Anas platyr</w:t>
      </w:r>
      <w:r>
        <w:rPr>
          <w:rFonts w:eastAsiaTheme="minorHAnsi"/>
          <w:b w:val="0"/>
          <w:i/>
          <w:caps w:val="0"/>
        </w:rPr>
        <w:t>h</w:t>
      </w:r>
      <w:r w:rsidR="00D24F61" w:rsidRPr="00D24F61">
        <w:rPr>
          <w:rFonts w:eastAsiaTheme="minorHAnsi"/>
          <w:b w:val="0"/>
          <w:i/>
          <w:caps w:val="0"/>
        </w:rPr>
        <w:t>ynchos</w:t>
      </w:r>
      <w:r w:rsidRPr="00FD5A46">
        <w:rPr>
          <w:rFonts w:eastAsiaTheme="minorHAnsi"/>
          <w:b w:val="0"/>
          <w:caps w:val="0"/>
        </w:rPr>
        <w:t>) (Eri</w:t>
      </w:r>
      <w:r w:rsidR="00EB6FCD">
        <w:rPr>
          <w:rFonts w:eastAsiaTheme="minorHAnsi"/>
          <w:b w:val="0"/>
          <w:caps w:val="0"/>
        </w:rPr>
        <w:t>c</w:t>
      </w:r>
      <w:r w:rsidRPr="00FD5A46">
        <w:rPr>
          <w:rFonts w:eastAsiaTheme="minorHAnsi"/>
          <w:b w:val="0"/>
          <w:caps w:val="0"/>
        </w:rPr>
        <w:t>kson and Urban 2004). Based upon data from</w:t>
      </w:r>
      <w:r>
        <w:rPr>
          <w:rFonts w:eastAsiaTheme="minorHAnsi"/>
          <w:b w:val="0"/>
          <w:caps w:val="0"/>
        </w:rPr>
        <w:t xml:space="preserve"> </w:t>
      </w:r>
      <w:r w:rsidRPr="00FD5A46">
        <w:rPr>
          <w:rFonts w:eastAsiaTheme="minorHAnsi"/>
          <w:b w:val="0"/>
          <w:caps w:val="0"/>
        </w:rPr>
        <w:t>avian species commonly used in pesticide registration</w:t>
      </w:r>
      <w:r>
        <w:rPr>
          <w:rFonts w:eastAsiaTheme="minorHAnsi"/>
          <w:b w:val="0"/>
          <w:caps w:val="0"/>
        </w:rPr>
        <w:t xml:space="preserve"> </w:t>
      </w:r>
      <w:r w:rsidRPr="00FD5A46">
        <w:rPr>
          <w:rFonts w:eastAsiaTheme="minorHAnsi"/>
          <w:b w:val="0"/>
          <w:caps w:val="0"/>
        </w:rPr>
        <w:t>tests (</w:t>
      </w:r>
      <w:r>
        <w:rPr>
          <w:rFonts w:eastAsiaTheme="minorHAnsi"/>
          <w:b w:val="0"/>
          <w:caps w:val="0"/>
        </w:rPr>
        <w:t>i.e.,</w:t>
      </w:r>
      <w:r w:rsidRPr="00FD5A46">
        <w:rPr>
          <w:rFonts w:eastAsiaTheme="minorHAnsi"/>
          <w:b w:val="0"/>
          <w:caps w:val="0"/>
        </w:rPr>
        <w:t xml:space="preserve"> northern bobwhite, mallards), diphacinone</w:t>
      </w:r>
      <w:r>
        <w:rPr>
          <w:rFonts w:eastAsiaTheme="minorHAnsi"/>
          <w:b w:val="0"/>
          <w:caps w:val="0"/>
        </w:rPr>
        <w:t xml:space="preserve"> </w:t>
      </w:r>
      <w:r w:rsidRPr="00FD5A46">
        <w:rPr>
          <w:rFonts w:eastAsiaTheme="minorHAnsi"/>
          <w:b w:val="0"/>
          <w:caps w:val="0"/>
        </w:rPr>
        <w:t xml:space="preserve">appears to be </w:t>
      </w:r>
      <w:r w:rsidR="00050795">
        <w:rPr>
          <w:rFonts w:eastAsiaTheme="minorHAnsi"/>
          <w:b w:val="0"/>
          <w:caps w:val="0"/>
        </w:rPr>
        <w:t xml:space="preserve">far </w:t>
      </w:r>
      <w:r w:rsidRPr="00FD5A46">
        <w:rPr>
          <w:rFonts w:eastAsiaTheme="minorHAnsi"/>
          <w:b w:val="0"/>
          <w:caps w:val="0"/>
        </w:rPr>
        <w:t xml:space="preserve">less toxic to captive birds than </w:t>
      </w:r>
      <w:r w:rsidR="00050795">
        <w:rPr>
          <w:rFonts w:eastAsiaTheme="minorHAnsi"/>
          <w:b w:val="0"/>
          <w:caps w:val="0"/>
        </w:rPr>
        <w:t xml:space="preserve">is brodifacoum (see Table 4-1). </w:t>
      </w:r>
      <w:r w:rsidRPr="00FD5A46">
        <w:rPr>
          <w:rFonts w:eastAsiaTheme="minorHAnsi"/>
          <w:b w:val="0"/>
          <w:caps w:val="0"/>
        </w:rPr>
        <w:t xml:space="preserve">However, </w:t>
      </w:r>
      <w:r w:rsidR="00050795">
        <w:rPr>
          <w:rFonts w:eastAsiaTheme="minorHAnsi"/>
          <w:b w:val="0"/>
          <w:caps w:val="0"/>
        </w:rPr>
        <w:t>a recent</w:t>
      </w:r>
      <w:r w:rsidRPr="00FD5A46">
        <w:rPr>
          <w:rFonts w:eastAsiaTheme="minorHAnsi"/>
          <w:b w:val="0"/>
          <w:caps w:val="0"/>
        </w:rPr>
        <w:t xml:space="preserve"> diphacinone</w:t>
      </w:r>
      <w:r>
        <w:rPr>
          <w:rFonts w:eastAsiaTheme="minorHAnsi"/>
          <w:b w:val="0"/>
          <w:caps w:val="0"/>
        </w:rPr>
        <w:t xml:space="preserve"> </w:t>
      </w:r>
      <w:r w:rsidRPr="00FD5A46">
        <w:rPr>
          <w:rFonts w:eastAsiaTheme="minorHAnsi"/>
          <w:b w:val="0"/>
          <w:caps w:val="0"/>
        </w:rPr>
        <w:t xml:space="preserve">acute toxicity test </w:t>
      </w:r>
      <w:r w:rsidR="00050795">
        <w:rPr>
          <w:rFonts w:eastAsiaTheme="minorHAnsi"/>
          <w:b w:val="0"/>
          <w:caps w:val="0"/>
        </w:rPr>
        <w:t>with</w:t>
      </w:r>
      <w:r w:rsidRPr="00FD5A46">
        <w:rPr>
          <w:rFonts w:eastAsiaTheme="minorHAnsi"/>
          <w:b w:val="0"/>
          <w:caps w:val="0"/>
        </w:rPr>
        <w:t xml:space="preserve"> American kestrels (</w:t>
      </w:r>
      <w:r w:rsidR="00D24F61" w:rsidRPr="00D24F61">
        <w:rPr>
          <w:rFonts w:eastAsiaTheme="minorHAnsi"/>
          <w:b w:val="0"/>
          <w:i/>
          <w:caps w:val="0"/>
        </w:rPr>
        <w:t>Falco sparverius</w:t>
      </w:r>
      <w:r w:rsidR="00050795">
        <w:rPr>
          <w:rFonts w:eastAsiaTheme="minorHAnsi"/>
          <w:b w:val="0"/>
          <w:caps w:val="0"/>
        </w:rPr>
        <w:t xml:space="preserve">) resulted in an </w:t>
      </w:r>
      <w:r w:rsidRPr="00FD5A46">
        <w:rPr>
          <w:rFonts w:eastAsiaTheme="minorHAnsi"/>
          <w:b w:val="0"/>
          <w:caps w:val="0"/>
        </w:rPr>
        <w:t xml:space="preserve">LD50 </w:t>
      </w:r>
      <w:r w:rsidR="00050795">
        <w:rPr>
          <w:rFonts w:eastAsiaTheme="minorHAnsi"/>
          <w:b w:val="0"/>
          <w:caps w:val="0"/>
        </w:rPr>
        <w:t xml:space="preserve">of </w:t>
      </w:r>
      <w:r w:rsidRPr="00FD5A46">
        <w:rPr>
          <w:rFonts w:eastAsiaTheme="minorHAnsi"/>
          <w:b w:val="0"/>
          <w:caps w:val="0"/>
        </w:rPr>
        <w:t>97 mg</w:t>
      </w:r>
      <w:r w:rsidR="00050795">
        <w:rPr>
          <w:rFonts w:eastAsiaTheme="minorHAnsi"/>
          <w:b w:val="0"/>
          <w:caps w:val="0"/>
        </w:rPr>
        <w:t xml:space="preserve"> ai</w:t>
      </w:r>
      <w:r w:rsidRPr="00FD5A46">
        <w:rPr>
          <w:rFonts w:eastAsiaTheme="minorHAnsi"/>
          <w:b w:val="0"/>
          <w:caps w:val="0"/>
        </w:rPr>
        <w:t>/kg</w:t>
      </w:r>
      <w:r w:rsidR="00050795">
        <w:rPr>
          <w:rFonts w:eastAsiaTheme="minorHAnsi"/>
          <w:b w:val="0"/>
          <w:caps w:val="0"/>
        </w:rPr>
        <w:t xml:space="preserve"> bw,</w:t>
      </w:r>
      <w:r>
        <w:rPr>
          <w:rFonts w:eastAsiaTheme="minorHAnsi"/>
          <w:b w:val="0"/>
          <w:caps w:val="0"/>
        </w:rPr>
        <w:t xml:space="preserve"> </w:t>
      </w:r>
      <w:r w:rsidRPr="00FD5A46">
        <w:rPr>
          <w:rFonts w:eastAsiaTheme="minorHAnsi"/>
          <w:b w:val="0"/>
          <w:caps w:val="0"/>
        </w:rPr>
        <w:t>indicat</w:t>
      </w:r>
      <w:r w:rsidR="00050795">
        <w:rPr>
          <w:rFonts w:eastAsiaTheme="minorHAnsi"/>
          <w:b w:val="0"/>
          <w:caps w:val="0"/>
        </w:rPr>
        <w:t>ing</w:t>
      </w:r>
      <w:r w:rsidRPr="00FD5A46">
        <w:rPr>
          <w:rFonts w:eastAsiaTheme="minorHAnsi"/>
          <w:b w:val="0"/>
          <w:caps w:val="0"/>
        </w:rPr>
        <w:t xml:space="preserve"> that </w:t>
      </w:r>
      <w:r w:rsidR="00050795">
        <w:rPr>
          <w:rFonts w:eastAsiaTheme="minorHAnsi"/>
          <w:b w:val="0"/>
          <w:caps w:val="0"/>
        </w:rPr>
        <w:t>kestrels</w:t>
      </w:r>
      <w:r w:rsidRPr="00FD5A46">
        <w:rPr>
          <w:rFonts w:eastAsiaTheme="minorHAnsi"/>
          <w:b w:val="0"/>
          <w:caps w:val="0"/>
        </w:rPr>
        <w:t xml:space="preserve"> are over 20 times more sensitive than</w:t>
      </w:r>
      <w:r>
        <w:rPr>
          <w:rFonts w:eastAsiaTheme="minorHAnsi"/>
          <w:b w:val="0"/>
          <w:caps w:val="0"/>
        </w:rPr>
        <w:t xml:space="preserve"> </w:t>
      </w:r>
      <w:r w:rsidR="00050795">
        <w:rPr>
          <w:rFonts w:eastAsiaTheme="minorHAnsi"/>
          <w:b w:val="0"/>
          <w:caps w:val="0"/>
        </w:rPr>
        <w:t xml:space="preserve">northern </w:t>
      </w:r>
      <w:r w:rsidRPr="00FD5A46">
        <w:rPr>
          <w:rFonts w:eastAsiaTheme="minorHAnsi"/>
          <w:b w:val="0"/>
          <w:caps w:val="0"/>
        </w:rPr>
        <w:t>bobwhite, and over 30 times more sensitive than</w:t>
      </w:r>
      <w:r>
        <w:rPr>
          <w:rFonts w:eastAsiaTheme="minorHAnsi"/>
          <w:b w:val="0"/>
          <w:caps w:val="0"/>
        </w:rPr>
        <w:t xml:space="preserve"> </w:t>
      </w:r>
      <w:r w:rsidRPr="00FD5A46">
        <w:rPr>
          <w:rFonts w:eastAsiaTheme="minorHAnsi"/>
          <w:b w:val="0"/>
          <w:caps w:val="0"/>
        </w:rPr>
        <w:t xml:space="preserve">mallards. </w:t>
      </w:r>
      <w:r w:rsidR="00050795">
        <w:rPr>
          <w:rFonts w:eastAsiaTheme="minorHAnsi"/>
          <w:b w:val="0"/>
          <w:caps w:val="0"/>
        </w:rPr>
        <w:t>In addition</w:t>
      </w:r>
      <w:r w:rsidRPr="00FD5A46">
        <w:rPr>
          <w:rFonts w:eastAsiaTheme="minorHAnsi"/>
          <w:b w:val="0"/>
          <w:caps w:val="0"/>
        </w:rPr>
        <w:t xml:space="preserve">, </w:t>
      </w:r>
      <w:r w:rsidR="00050795">
        <w:rPr>
          <w:rFonts w:eastAsiaTheme="minorHAnsi"/>
          <w:b w:val="0"/>
          <w:caps w:val="0"/>
        </w:rPr>
        <w:t xml:space="preserve">the results of a study in </w:t>
      </w:r>
      <w:r w:rsidRPr="00FD5A46">
        <w:rPr>
          <w:rFonts w:eastAsiaTheme="minorHAnsi"/>
          <w:b w:val="0"/>
          <w:caps w:val="0"/>
        </w:rPr>
        <w:t>which</w:t>
      </w:r>
      <w:r>
        <w:rPr>
          <w:rFonts w:eastAsiaTheme="minorHAnsi"/>
          <w:b w:val="0"/>
          <w:caps w:val="0"/>
        </w:rPr>
        <w:t xml:space="preserve"> </w:t>
      </w:r>
      <w:r w:rsidRPr="00FD5A46">
        <w:rPr>
          <w:rFonts w:eastAsiaTheme="minorHAnsi"/>
          <w:b w:val="0"/>
          <w:caps w:val="0"/>
        </w:rPr>
        <w:t>diphacinone-poisoned mice (</w:t>
      </w:r>
      <w:r w:rsidR="00D24F61" w:rsidRPr="00D24F61">
        <w:rPr>
          <w:rFonts w:eastAsiaTheme="minorHAnsi"/>
          <w:b w:val="0"/>
          <w:i/>
          <w:caps w:val="0"/>
        </w:rPr>
        <w:t>Peromyscus maniculatus</w:t>
      </w:r>
      <w:r w:rsidRPr="00FD5A46">
        <w:rPr>
          <w:rFonts w:eastAsiaTheme="minorHAnsi"/>
          <w:b w:val="0"/>
          <w:caps w:val="0"/>
        </w:rPr>
        <w:t>)</w:t>
      </w:r>
      <w:r>
        <w:rPr>
          <w:rFonts w:eastAsiaTheme="minorHAnsi"/>
          <w:b w:val="0"/>
          <w:caps w:val="0"/>
        </w:rPr>
        <w:t xml:space="preserve"> </w:t>
      </w:r>
      <w:r w:rsidRPr="00FD5A46">
        <w:rPr>
          <w:rFonts w:eastAsiaTheme="minorHAnsi"/>
          <w:b w:val="0"/>
          <w:caps w:val="0"/>
        </w:rPr>
        <w:t>were fed to great-horned owls (</w:t>
      </w:r>
      <w:r w:rsidR="00D24F61" w:rsidRPr="00D24F61">
        <w:rPr>
          <w:rFonts w:eastAsiaTheme="minorHAnsi"/>
          <w:b w:val="0"/>
          <w:i/>
          <w:caps w:val="0"/>
        </w:rPr>
        <w:t>Buto virginianus</w:t>
      </w:r>
      <w:r w:rsidRPr="00FD5A46">
        <w:rPr>
          <w:rFonts w:eastAsiaTheme="minorHAnsi"/>
          <w:b w:val="0"/>
          <w:caps w:val="0"/>
        </w:rPr>
        <w:t>) and a</w:t>
      </w:r>
      <w:r>
        <w:rPr>
          <w:rFonts w:eastAsiaTheme="minorHAnsi"/>
          <w:b w:val="0"/>
          <w:caps w:val="0"/>
        </w:rPr>
        <w:t xml:space="preserve"> </w:t>
      </w:r>
      <w:r w:rsidRPr="00FD5A46">
        <w:rPr>
          <w:rFonts w:eastAsiaTheme="minorHAnsi"/>
          <w:b w:val="0"/>
          <w:caps w:val="0"/>
        </w:rPr>
        <w:t>saw-whet owl (</w:t>
      </w:r>
      <w:r w:rsidR="00D24F61" w:rsidRPr="00D24F61">
        <w:rPr>
          <w:rFonts w:eastAsiaTheme="minorHAnsi"/>
          <w:b w:val="0"/>
          <w:i/>
          <w:caps w:val="0"/>
        </w:rPr>
        <w:t>Aegolius acadicus</w:t>
      </w:r>
      <w:r w:rsidRPr="00FD5A46">
        <w:rPr>
          <w:rFonts w:eastAsiaTheme="minorHAnsi"/>
          <w:b w:val="0"/>
          <w:caps w:val="0"/>
        </w:rPr>
        <w:t xml:space="preserve">) suggests that </w:t>
      </w:r>
      <w:r w:rsidR="00050795">
        <w:rPr>
          <w:rFonts w:eastAsiaTheme="minorHAnsi"/>
          <w:b w:val="0"/>
          <w:caps w:val="0"/>
        </w:rPr>
        <w:t>owl species</w:t>
      </w:r>
      <w:r>
        <w:rPr>
          <w:rFonts w:eastAsiaTheme="minorHAnsi"/>
          <w:b w:val="0"/>
          <w:caps w:val="0"/>
        </w:rPr>
        <w:t xml:space="preserve"> </w:t>
      </w:r>
      <w:r w:rsidRPr="00FD5A46">
        <w:rPr>
          <w:rFonts w:eastAsiaTheme="minorHAnsi"/>
          <w:b w:val="0"/>
          <w:caps w:val="0"/>
        </w:rPr>
        <w:t xml:space="preserve">are more sensitive than </w:t>
      </w:r>
      <w:r w:rsidR="00050795">
        <w:rPr>
          <w:rFonts w:eastAsiaTheme="minorHAnsi"/>
          <w:b w:val="0"/>
          <w:caps w:val="0"/>
        </w:rPr>
        <w:t xml:space="preserve">northern </w:t>
      </w:r>
      <w:r w:rsidRPr="00FD5A46">
        <w:rPr>
          <w:rFonts w:eastAsiaTheme="minorHAnsi"/>
          <w:b w:val="0"/>
          <w:caps w:val="0"/>
        </w:rPr>
        <w:t>bobwhite (Mendenhall and Pank</w:t>
      </w:r>
      <w:r>
        <w:rPr>
          <w:rFonts w:eastAsiaTheme="minorHAnsi"/>
          <w:b w:val="0"/>
          <w:caps w:val="0"/>
        </w:rPr>
        <w:t xml:space="preserve"> </w:t>
      </w:r>
      <w:r w:rsidRPr="00FD5A46">
        <w:rPr>
          <w:rFonts w:eastAsiaTheme="minorHAnsi"/>
          <w:b w:val="0"/>
          <w:caps w:val="0"/>
        </w:rPr>
        <w:t>1980).</w:t>
      </w:r>
      <w:r w:rsidR="00050795">
        <w:rPr>
          <w:rFonts w:eastAsiaTheme="minorHAnsi"/>
          <w:b w:val="0"/>
          <w:caps w:val="0"/>
        </w:rPr>
        <w:t xml:space="preserve"> Given the lack of diphacinone toxicity data for gull species and the high uncertainty regarding toxicity to untested species, we used the results for American kestrels from Barnett and Rattner (2010) as a surrogate for the western gull. A </w:t>
      </w:r>
      <w:r w:rsidR="00050795" w:rsidRPr="00050795">
        <w:rPr>
          <w:rFonts w:eastAsiaTheme="minorHAnsi"/>
          <w:b w:val="0"/>
          <w:caps w:val="0"/>
        </w:rPr>
        <w:t xml:space="preserve">log-probit regression </w:t>
      </w:r>
      <w:r w:rsidR="00050795">
        <w:rPr>
          <w:rFonts w:eastAsiaTheme="minorHAnsi"/>
          <w:b w:val="0"/>
          <w:caps w:val="0"/>
        </w:rPr>
        <w:t xml:space="preserve">analysis </w:t>
      </w:r>
      <w:r w:rsidR="00050795" w:rsidRPr="00050795">
        <w:rPr>
          <w:rFonts w:eastAsiaTheme="minorHAnsi"/>
          <w:b w:val="0"/>
          <w:caps w:val="0"/>
        </w:rPr>
        <w:t xml:space="preserve">conducted by </w:t>
      </w:r>
      <w:r w:rsidR="00050795">
        <w:rPr>
          <w:rFonts w:eastAsiaTheme="minorHAnsi"/>
          <w:b w:val="0"/>
          <w:caps w:val="0"/>
        </w:rPr>
        <w:t xml:space="preserve">the </w:t>
      </w:r>
      <w:r w:rsidR="00050795" w:rsidRPr="00050795">
        <w:rPr>
          <w:rFonts w:eastAsiaTheme="minorHAnsi"/>
          <w:b w:val="0"/>
          <w:caps w:val="0"/>
        </w:rPr>
        <w:t xml:space="preserve">study authors </w:t>
      </w:r>
      <w:r w:rsidR="00050795">
        <w:rPr>
          <w:rFonts w:eastAsiaTheme="minorHAnsi"/>
          <w:b w:val="0"/>
          <w:caps w:val="0"/>
        </w:rPr>
        <w:t xml:space="preserve">indicated an LD50 of 97 mg ai/kg </w:t>
      </w:r>
      <w:proofErr w:type="gramStart"/>
      <w:r w:rsidR="00050795">
        <w:rPr>
          <w:rFonts w:eastAsiaTheme="minorHAnsi"/>
          <w:b w:val="0"/>
          <w:caps w:val="0"/>
        </w:rPr>
        <w:t>bw</w:t>
      </w:r>
      <w:proofErr w:type="gramEnd"/>
      <w:r w:rsidR="00050795">
        <w:rPr>
          <w:rFonts w:eastAsiaTheme="minorHAnsi"/>
          <w:b w:val="0"/>
          <w:caps w:val="0"/>
        </w:rPr>
        <w:t xml:space="preserve"> with a probit slope of 6.69</w:t>
      </w:r>
      <w:r w:rsidR="00050795" w:rsidRPr="00050795">
        <w:rPr>
          <w:rFonts w:eastAsiaTheme="minorHAnsi"/>
          <w:b w:val="0"/>
          <w:caps w:val="0"/>
        </w:rPr>
        <w:t>.</w:t>
      </w:r>
      <w:r w:rsidR="00050795" w:rsidRPr="00050795" w:rsidDel="00FF19BC">
        <w:rPr>
          <w:rFonts w:eastAsiaTheme="minorHAnsi"/>
          <w:b w:val="0"/>
          <w:caps w:val="0"/>
        </w:rPr>
        <w:t xml:space="preserve"> </w:t>
      </w:r>
      <w:r w:rsidR="00050795">
        <w:rPr>
          <w:rFonts w:eastAsiaTheme="minorHAnsi"/>
          <w:b w:val="0"/>
          <w:caps w:val="0"/>
        </w:rPr>
        <w:t>These parameters were used in the western gull model for diphacinone.</w:t>
      </w:r>
      <w:bookmarkEnd w:id="30"/>
      <w:bookmarkEnd w:id="31"/>
      <w:bookmarkEnd w:id="32"/>
    </w:p>
    <w:p w:rsidR="009D6D1B" w:rsidRPr="006D7D95" w:rsidRDefault="009D6D1B" w:rsidP="00927DFB">
      <w:pPr>
        <w:pStyle w:val="ListParagraph"/>
        <w:keepNext/>
        <w:numPr>
          <w:ilvl w:val="0"/>
          <w:numId w:val="29"/>
        </w:numPr>
        <w:ind w:left="851" w:hanging="851"/>
        <w:contextualSpacing w:val="0"/>
        <w:outlineLvl w:val="1"/>
        <w:rPr>
          <w:lang w:val="en-US"/>
        </w:rPr>
      </w:pPr>
    </w:p>
    <w:p w:rsidR="00DE6FB1" w:rsidRDefault="00340336">
      <w:pPr>
        <w:pStyle w:val="Heading2"/>
        <w:numPr>
          <w:ilvl w:val="0"/>
          <w:numId w:val="34"/>
        </w:numPr>
        <w:ind w:left="851" w:hanging="851"/>
      </w:pPr>
      <w:bookmarkStart w:id="33" w:name="_Toc343007933"/>
      <w:r>
        <w:t>oral Gavage versus Dietary Exposure studies</w:t>
      </w:r>
      <w:bookmarkEnd w:id="33"/>
    </w:p>
    <w:p w:rsidR="001A513E" w:rsidRDefault="00076ECC">
      <w:pPr>
        <w:rPr>
          <w:rFonts w:cs="Times New Roman"/>
          <w:sz w:val="24"/>
        </w:rPr>
      </w:pPr>
      <w:r w:rsidRPr="009D6D1B">
        <w:rPr>
          <w:rFonts w:cs="Times New Roman"/>
          <w:sz w:val="24"/>
        </w:rPr>
        <w:t xml:space="preserve">Often </w:t>
      </w:r>
      <w:r>
        <w:rPr>
          <w:rFonts w:cs="Times New Roman"/>
          <w:sz w:val="24"/>
        </w:rPr>
        <w:t xml:space="preserve">oral </w:t>
      </w:r>
      <w:r w:rsidRPr="009D6D1B">
        <w:rPr>
          <w:rFonts w:cs="Times New Roman"/>
          <w:sz w:val="24"/>
        </w:rPr>
        <w:t xml:space="preserve">gavage studies </w:t>
      </w:r>
      <w:r>
        <w:rPr>
          <w:rFonts w:cs="Times New Roman"/>
          <w:sz w:val="24"/>
        </w:rPr>
        <w:t xml:space="preserve">such as used to estimate diphacinone toxicity to American kestrels </w:t>
      </w:r>
      <w:r w:rsidRPr="009D6D1B">
        <w:rPr>
          <w:rFonts w:cs="Times New Roman"/>
          <w:sz w:val="24"/>
        </w:rPr>
        <w:t>overestimate toxicity when compared to dietary studies</w:t>
      </w:r>
      <w:r>
        <w:rPr>
          <w:rFonts w:cs="Times New Roman"/>
          <w:sz w:val="24"/>
        </w:rPr>
        <w:t>. In dietary studies, metabolism and excretion over the course of the study can reduce accumulation of the pesticide thus reducing toxicity compared to oral gavage studies (EPA, 2004)</w:t>
      </w:r>
      <w:r w:rsidRPr="009D6D1B">
        <w:rPr>
          <w:rFonts w:cs="Times New Roman"/>
          <w:sz w:val="24"/>
        </w:rPr>
        <w:t>.</w:t>
      </w:r>
      <w:r>
        <w:rPr>
          <w:rFonts w:cs="Times New Roman"/>
          <w:sz w:val="24"/>
        </w:rPr>
        <w:t xml:space="preserve"> However, in the case of brodifacoum, m</w:t>
      </w:r>
      <w:r w:rsidR="00D24F61" w:rsidRPr="00D24F61">
        <w:rPr>
          <w:rFonts w:cs="Times New Roman"/>
          <w:sz w:val="24"/>
        </w:rPr>
        <w:t xml:space="preserve">etabolism and excretion </w:t>
      </w:r>
      <w:r>
        <w:rPr>
          <w:rFonts w:cs="Times New Roman"/>
          <w:sz w:val="24"/>
        </w:rPr>
        <w:t>are unlikely to</w:t>
      </w:r>
      <w:r w:rsidR="00D24F61">
        <w:rPr>
          <w:rFonts w:cs="Times New Roman"/>
          <w:sz w:val="24"/>
        </w:rPr>
        <w:t xml:space="preserve"> mediate</w:t>
      </w:r>
      <w:r w:rsidR="00D24F61" w:rsidRPr="00D24F61">
        <w:rPr>
          <w:rFonts w:cs="Times New Roman"/>
          <w:sz w:val="24"/>
        </w:rPr>
        <w:t xml:space="preserve"> toxicity when ingested over an extended period </w:t>
      </w:r>
      <w:r>
        <w:rPr>
          <w:rFonts w:cs="Times New Roman"/>
          <w:sz w:val="24"/>
        </w:rPr>
        <w:t xml:space="preserve">because the compound is highly persistent </w:t>
      </w:r>
      <w:r w:rsidR="00D24F61" w:rsidRPr="00D24F61">
        <w:rPr>
          <w:rFonts w:cs="Times New Roman"/>
          <w:sz w:val="24"/>
        </w:rPr>
        <w:t xml:space="preserve">(Eason et al., 2002). </w:t>
      </w:r>
      <w:r>
        <w:rPr>
          <w:rFonts w:cs="Times New Roman"/>
          <w:sz w:val="24"/>
        </w:rPr>
        <w:t>T</w:t>
      </w:r>
      <w:r w:rsidR="00D24F61" w:rsidRPr="00D24F61">
        <w:rPr>
          <w:rFonts w:cs="Times New Roman"/>
          <w:sz w:val="24"/>
        </w:rPr>
        <w:t xml:space="preserve">he mean liver retention time for brodifacoum in birds </w:t>
      </w:r>
      <w:r w:rsidR="00722B30">
        <w:rPr>
          <w:rFonts w:cs="Times New Roman"/>
          <w:sz w:val="24"/>
        </w:rPr>
        <w:t>is</w:t>
      </w:r>
      <w:r w:rsidR="00D24F61" w:rsidRPr="00D24F61">
        <w:rPr>
          <w:rFonts w:cs="Times New Roman"/>
          <w:sz w:val="24"/>
        </w:rPr>
        <w:t xml:space="preserve"> 217 days, respectively (Erickson and Urban, 2004). </w:t>
      </w:r>
      <w:r w:rsidR="00722B30">
        <w:rPr>
          <w:rFonts w:cs="Times New Roman"/>
          <w:sz w:val="24"/>
        </w:rPr>
        <w:t>Diphacinone is also persistent in the liver with a mean retention time of 90 days</w:t>
      </w:r>
      <w:r w:rsidR="00D24F61" w:rsidRPr="00D24F61">
        <w:rPr>
          <w:rFonts w:cs="Times New Roman"/>
          <w:sz w:val="24"/>
        </w:rPr>
        <w:t xml:space="preserve"> (Erickson and Urban, 2004). As a result, there may be no significant difference between toxicity results from oral gavage and dietary </w:t>
      </w:r>
      <w:r w:rsidR="00722B30">
        <w:rPr>
          <w:rFonts w:cs="Times New Roman"/>
          <w:sz w:val="24"/>
        </w:rPr>
        <w:t xml:space="preserve">exposure </w:t>
      </w:r>
      <w:r w:rsidR="00D24F61" w:rsidRPr="00D24F61">
        <w:rPr>
          <w:rFonts w:cs="Times New Roman"/>
          <w:sz w:val="24"/>
        </w:rPr>
        <w:t>studies (Erickson and Urban, 2004).</w:t>
      </w:r>
    </w:p>
    <w:p w:rsidR="001A513E" w:rsidRDefault="00D24F61">
      <w:r w:rsidRPr="00D24F61">
        <w:rPr>
          <w:rFonts w:cs="Times New Roman"/>
          <w:sz w:val="24"/>
        </w:rPr>
        <w:t xml:space="preserve">To </w:t>
      </w:r>
      <w:r w:rsidR="00527A64">
        <w:rPr>
          <w:rFonts w:cs="Times New Roman"/>
          <w:sz w:val="24"/>
        </w:rPr>
        <w:t xml:space="preserve">compare effects metrics from oral gavage and dietary exposure studies, the units have to be the same (i.e., mg ai/kg </w:t>
      </w:r>
      <w:proofErr w:type="gramStart"/>
      <w:r w:rsidR="00527A64">
        <w:rPr>
          <w:rFonts w:cs="Times New Roman"/>
          <w:sz w:val="24"/>
        </w:rPr>
        <w:t>bw</w:t>
      </w:r>
      <w:proofErr w:type="gramEnd"/>
      <w:r w:rsidR="00527A64">
        <w:rPr>
          <w:rFonts w:cs="Times New Roman"/>
          <w:sz w:val="24"/>
        </w:rPr>
        <w:t>).</w:t>
      </w:r>
      <w:r w:rsidR="003F71BC" w:rsidRPr="003F71BC">
        <w:rPr>
          <w:rFonts w:cs="Times New Roman"/>
          <w:sz w:val="24"/>
        </w:rPr>
        <w:t xml:space="preserve"> </w:t>
      </w:r>
      <w:r w:rsidR="003F71BC">
        <w:rPr>
          <w:rFonts w:cs="Times New Roman"/>
          <w:sz w:val="24"/>
        </w:rPr>
        <w:t xml:space="preserve">For this analysis the LC50 value was utilized, which </w:t>
      </w:r>
      <w:r w:rsidR="003F71BC" w:rsidRPr="000916B2">
        <w:rPr>
          <w:rFonts w:cs="Times New Roman"/>
          <w:sz w:val="24"/>
        </w:rPr>
        <w:t xml:space="preserve">is the concentration of a chemical in air or water </w:t>
      </w:r>
      <w:r w:rsidR="00E60F11">
        <w:rPr>
          <w:rFonts w:cs="Times New Roman"/>
          <w:sz w:val="24"/>
        </w:rPr>
        <w:t>that</w:t>
      </w:r>
      <w:r w:rsidR="00E60F11" w:rsidRPr="000916B2">
        <w:rPr>
          <w:rFonts w:cs="Times New Roman"/>
          <w:sz w:val="24"/>
        </w:rPr>
        <w:t xml:space="preserve"> </w:t>
      </w:r>
      <w:r w:rsidR="003F71BC" w:rsidRPr="000916B2">
        <w:rPr>
          <w:rFonts w:cs="Times New Roman"/>
          <w:sz w:val="24"/>
        </w:rPr>
        <w:t>is expected to cause death in 50% of test animals</w:t>
      </w:r>
      <w:r w:rsidR="003F71BC">
        <w:rPr>
          <w:rFonts w:ascii="Georgia" w:hAnsi="Georgia"/>
          <w:color w:val="000000"/>
          <w:sz w:val="20"/>
          <w:szCs w:val="20"/>
        </w:rPr>
        <w:t>.</w:t>
      </w:r>
      <w:r w:rsidR="003F71BC">
        <w:rPr>
          <w:rStyle w:val="apple-converted-space"/>
          <w:rFonts w:ascii="Georgia" w:hAnsi="Georgia"/>
          <w:color w:val="000000"/>
          <w:sz w:val="20"/>
          <w:szCs w:val="20"/>
        </w:rPr>
        <w:t> </w:t>
      </w:r>
      <w:r w:rsidR="00527A64">
        <w:rPr>
          <w:rFonts w:cs="Times New Roman"/>
          <w:sz w:val="24"/>
        </w:rPr>
        <w:t>This requires multiplying the LC50 from the dietary exposure study by the daily food intake rate normalized to body weight multiplied by the number of exposure days (the assumption being that metabolism and excretion are minimal)</w:t>
      </w:r>
      <w:r w:rsidRPr="00D24F61">
        <w:rPr>
          <w:rFonts w:cs="Times New Roman"/>
          <w:sz w:val="24"/>
        </w:rPr>
        <w:t xml:space="preserve">. </w:t>
      </w:r>
      <w:r w:rsidR="00527A64">
        <w:rPr>
          <w:rFonts w:cs="Times New Roman"/>
          <w:sz w:val="24"/>
        </w:rPr>
        <w:t>Long et al. (1992) determined an</w:t>
      </w:r>
      <w:r w:rsidRPr="00D24F61">
        <w:rPr>
          <w:rFonts w:cs="Times New Roman"/>
          <w:sz w:val="24"/>
        </w:rPr>
        <w:t xml:space="preserve"> LC50 </w:t>
      </w:r>
      <w:r w:rsidR="00527A64">
        <w:rPr>
          <w:rFonts w:cs="Times New Roman"/>
          <w:sz w:val="24"/>
        </w:rPr>
        <w:t xml:space="preserve">of </w:t>
      </w:r>
      <w:r w:rsidRPr="00D24F61">
        <w:rPr>
          <w:rFonts w:cs="Times New Roman"/>
          <w:sz w:val="24"/>
        </w:rPr>
        <w:t>mg ai/kg</w:t>
      </w:r>
      <w:r w:rsidR="00527A64">
        <w:rPr>
          <w:rFonts w:cs="Times New Roman"/>
          <w:sz w:val="24"/>
        </w:rPr>
        <w:t xml:space="preserve"> </w:t>
      </w:r>
      <w:r w:rsidRPr="00D24F61">
        <w:rPr>
          <w:rFonts w:cs="Times New Roman"/>
          <w:sz w:val="24"/>
        </w:rPr>
        <w:t>diet</w:t>
      </w:r>
      <w:r w:rsidR="00527A64">
        <w:rPr>
          <w:rFonts w:cs="Times New Roman"/>
          <w:sz w:val="24"/>
        </w:rPr>
        <w:t xml:space="preserve"> for mallards</w:t>
      </w:r>
      <w:r w:rsidRPr="00D24F61">
        <w:rPr>
          <w:rFonts w:cs="Times New Roman"/>
          <w:sz w:val="24"/>
        </w:rPr>
        <w:t xml:space="preserve">. </w:t>
      </w:r>
      <w:r w:rsidR="00527A64">
        <w:rPr>
          <w:rFonts w:cs="Times New Roman"/>
          <w:sz w:val="24"/>
        </w:rPr>
        <w:t>The food</w:t>
      </w:r>
      <w:r w:rsidRPr="00D24F61">
        <w:rPr>
          <w:rFonts w:cs="Times New Roman"/>
          <w:sz w:val="24"/>
        </w:rPr>
        <w:t xml:space="preserve"> consumption </w:t>
      </w:r>
      <w:r w:rsidR="00527A64">
        <w:rPr>
          <w:rFonts w:cs="Times New Roman"/>
          <w:sz w:val="24"/>
        </w:rPr>
        <w:t>rate for</w:t>
      </w:r>
      <w:r w:rsidRPr="00D24F61">
        <w:rPr>
          <w:rFonts w:cs="Times New Roman"/>
          <w:sz w:val="24"/>
        </w:rPr>
        <w:t xml:space="preserve"> birds in the treatment group closest to the LC50 (</w:t>
      </w:r>
      <w:r w:rsidR="00527A64">
        <w:rPr>
          <w:rFonts w:cs="Times New Roman"/>
          <w:sz w:val="24"/>
        </w:rPr>
        <w:t xml:space="preserve">i.e., </w:t>
      </w:r>
      <w:r w:rsidRPr="00D24F61">
        <w:rPr>
          <w:rFonts w:cs="Times New Roman"/>
          <w:sz w:val="24"/>
        </w:rPr>
        <w:t>1000 mg ai/kg</w:t>
      </w:r>
      <w:r w:rsidR="00527A64">
        <w:rPr>
          <w:rFonts w:cs="Times New Roman"/>
          <w:sz w:val="24"/>
        </w:rPr>
        <w:t xml:space="preserve"> </w:t>
      </w:r>
      <w:r w:rsidRPr="00D24F61">
        <w:rPr>
          <w:rFonts w:cs="Times New Roman"/>
          <w:sz w:val="24"/>
        </w:rPr>
        <w:t>diet) during the treatment period was 0.064 kg</w:t>
      </w:r>
      <w:r w:rsidR="00527A64">
        <w:rPr>
          <w:rFonts w:cs="Times New Roman"/>
          <w:sz w:val="24"/>
        </w:rPr>
        <w:t xml:space="preserve"> </w:t>
      </w:r>
      <w:r w:rsidRPr="00D24F61">
        <w:rPr>
          <w:rFonts w:cs="Times New Roman"/>
          <w:sz w:val="24"/>
        </w:rPr>
        <w:t>diet/bird/day. The average body weight (</w:t>
      </w:r>
      <w:r w:rsidRPr="00D24F61">
        <w:rPr>
          <w:rFonts w:cs="Times New Roman"/>
          <w:i/>
          <w:sz w:val="24"/>
        </w:rPr>
        <w:t>BW</w:t>
      </w:r>
      <w:r w:rsidRPr="00D24F61">
        <w:rPr>
          <w:rFonts w:cs="Times New Roman"/>
          <w:sz w:val="24"/>
        </w:rPr>
        <w:t>) during the treatment period of birds in the 1</w:t>
      </w:r>
      <w:r w:rsidR="005A3977">
        <w:rPr>
          <w:rFonts w:cs="Times New Roman"/>
          <w:sz w:val="24"/>
        </w:rPr>
        <w:t>,</w:t>
      </w:r>
      <w:r w:rsidRPr="00D24F61">
        <w:rPr>
          <w:rFonts w:cs="Times New Roman"/>
          <w:sz w:val="24"/>
        </w:rPr>
        <w:t>000 mg/kg-diet treatment group was 0.23</w:t>
      </w:r>
      <w:r w:rsidR="00527A64">
        <w:rPr>
          <w:rFonts w:cs="Times New Roman"/>
          <w:sz w:val="24"/>
        </w:rPr>
        <w:t xml:space="preserve">6 </w:t>
      </w:r>
      <w:r w:rsidRPr="00D24F61">
        <w:rPr>
          <w:rFonts w:cs="Times New Roman"/>
          <w:sz w:val="24"/>
        </w:rPr>
        <w:t>kg. Thus, the median lethal daily dose is 246 mg ai/kg</w:t>
      </w:r>
      <w:r w:rsidR="00527A64">
        <w:rPr>
          <w:rFonts w:cs="Times New Roman"/>
          <w:sz w:val="24"/>
        </w:rPr>
        <w:t xml:space="preserve"> </w:t>
      </w:r>
      <w:r w:rsidRPr="00D24F61">
        <w:rPr>
          <w:rFonts w:cs="Times New Roman"/>
          <w:sz w:val="24"/>
        </w:rPr>
        <w:t xml:space="preserve">bw/day. Assuming </w:t>
      </w:r>
      <w:r w:rsidR="00527A64">
        <w:rPr>
          <w:rFonts w:cs="Times New Roman"/>
          <w:sz w:val="24"/>
        </w:rPr>
        <w:t>that diphacinone</w:t>
      </w:r>
      <w:r w:rsidRPr="00D24F61">
        <w:rPr>
          <w:rFonts w:cs="Times New Roman"/>
          <w:sz w:val="24"/>
        </w:rPr>
        <w:t xml:space="preserve"> is not metabolized or excreted to a</w:t>
      </w:r>
      <w:r w:rsidR="00527A64">
        <w:rPr>
          <w:rFonts w:cs="Times New Roman"/>
          <w:sz w:val="24"/>
        </w:rPr>
        <w:t>ny</w:t>
      </w:r>
      <w:r w:rsidRPr="00D24F61">
        <w:rPr>
          <w:rFonts w:cs="Times New Roman"/>
          <w:sz w:val="24"/>
        </w:rPr>
        <w:t xml:space="preserve"> significant extent over the exposure period, the daily dose </w:t>
      </w:r>
      <w:r w:rsidR="00527A64">
        <w:rPr>
          <w:rFonts w:cs="Times New Roman"/>
          <w:sz w:val="24"/>
        </w:rPr>
        <w:t>is</w:t>
      </w:r>
      <w:r w:rsidRPr="00D24F61">
        <w:rPr>
          <w:rFonts w:cs="Times New Roman"/>
          <w:sz w:val="24"/>
        </w:rPr>
        <w:t xml:space="preserve"> multiplied by the exposure period (5 d) to determine </w:t>
      </w:r>
      <w:r w:rsidR="00527A64">
        <w:rPr>
          <w:rFonts w:cs="Times New Roman"/>
          <w:sz w:val="24"/>
        </w:rPr>
        <w:t xml:space="preserve">an LD50 of </w:t>
      </w:r>
      <w:r w:rsidRPr="00D24F61">
        <w:rPr>
          <w:rFonts w:cs="Times New Roman"/>
          <w:sz w:val="24"/>
        </w:rPr>
        <w:t>1</w:t>
      </w:r>
      <w:r w:rsidR="005A3977">
        <w:rPr>
          <w:rFonts w:cs="Times New Roman"/>
          <w:sz w:val="24"/>
        </w:rPr>
        <w:t>,</w:t>
      </w:r>
      <w:r w:rsidRPr="00D24F61">
        <w:rPr>
          <w:rFonts w:cs="Times New Roman"/>
          <w:sz w:val="24"/>
        </w:rPr>
        <w:t>231 mg ai/kg</w:t>
      </w:r>
      <w:r w:rsidR="00527A64">
        <w:rPr>
          <w:rFonts w:cs="Times New Roman"/>
          <w:sz w:val="24"/>
        </w:rPr>
        <w:t xml:space="preserve"> </w:t>
      </w:r>
      <w:r w:rsidRPr="00D24F61">
        <w:rPr>
          <w:rFonts w:cs="Times New Roman"/>
          <w:sz w:val="24"/>
        </w:rPr>
        <w:t>bw.</w:t>
      </w:r>
      <w:r w:rsidR="00527A64">
        <w:rPr>
          <w:rFonts w:cs="Times New Roman"/>
          <w:sz w:val="24"/>
        </w:rPr>
        <w:t xml:space="preserve"> For mallards</w:t>
      </w:r>
      <w:r w:rsidR="00012CE2">
        <w:rPr>
          <w:rFonts w:cs="Times New Roman"/>
          <w:sz w:val="24"/>
        </w:rPr>
        <w:t xml:space="preserve"> exposed to diphacinone</w:t>
      </w:r>
      <w:r w:rsidR="00527A64">
        <w:rPr>
          <w:rFonts w:cs="Times New Roman"/>
          <w:sz w:val="24"/>
        </w:rPr>
        <w:t xml:space="preserve">, the </w:t>
      </w:r>
      <w:r w:rsidR="00012CE2">
        <w:rPr>
          <w:rFonts w:cs="Times New Roman"/>
          <w:sz w:val="24"/>
        </w:rPr>
        <w:t xml:space="preserve">dietary exposure LD50 is lower (i.e., more toxic) than the </w:t>
      </w:r>
      <w:r w:rsidRPr="00D24F61">
        <w:rPr>
          <w:rFonts w:cs="Times New Roman"/>
          <w:sz w:val="24"/>
        </w:rPr>
        <w:t xml:space="preserve">corresponding oral gavage </w:t>
      </w:r>
      <w:r w:rsidR="00012CE2">
        <w:rPr>
          <w:rFonts w:cs="Times New Roman"/>
          <w:sz w:val="24"/>
        </w:rPr>
        <w:t>LD50 of</w:t>
      </w:r>
      <w:r>
        <w:rPr>
          <w:rFonts w:cs="Times New Roman"/>
          <w:sz w:val="24"/>
        </w:rPr>
        <w:t xml:space="preserve"> </w:t>
      </w:r>
      <w:r w:rsidRPr="00D24F61">
        <w:rPr>
          <w:rFonts w:cs="Times New Roman"/>
          <w:sz w:val="24"/>
        </w:rPr>
        <w:t>3</w:t>
      </w:r>
      <w:r w:rsidR="005A3977">
        <w:rPr>
          <w:rFonts w:cs="Times New Roman"/>
          <w:sz w:val="24"/>
        </w:rPr>
        <w:t>,</w:t>
      </w:r>
      <w:r w:rsidRPr="00D24F61">
        <w:rPr>
          <w:rFonts w:cs="Times New Roman"/>
          <w:sz w:val="24"/>
        </w:rPr>
        <w:t>158 mg ai/kg</w:t>
      </w:r>
      <w:r w:rsidR="00012CE2">
        <w:rPr>
          <w:rFonts w:cs="Times New Roman"/>
          <w:sz w:val="24"/>
        </w:rPr>
        <w:t xml:space="preserve"> </w:t>
      </w:r>
      <w:proofErr w:type="gramStart"/>
      <w:r w:rsidRPr="00D24F61">
        <w:rPr>
          <w:rFonts w:cs="Times New Roman"/>
          <w:sz w:val="24"/>
        </w:rPr>
        <w:t>bw</w:t>
      </w:r>
      <w:proofErr w:type="gramEnd"/>
      <w:r w:rsidR="00012CE2">
        <w:rPr>
          <w:rFonts w:cs="Times New Roman"/>
          <w:sz w:val="24"/>
        </w:rPr>
        <w:t xml:space="preserve"> cited by Erickson and Urban (2004)</w:t>
      </w:r>
      <w:r w:rsidRPr="00D24F61">
        <w:rPr>
          <w:rFonts w:cs="Times New Roman"/>
          <w:sz w:val="24"/>
        </w:rPr>
        <w:t xml:space="preserve">. </w:t>
      </w:r>
      <w:r w:rsidR="00012CE2">
        <w:rPr>
          <w:rFonts w:cs="Times New Roman"/>
          <w:sz w:val="24"/>
        </w:rPr>
        <w:t>No other species have the required information to determine the relative toxicity of oral gavage and dietary exposure studies for diphacinone. Based on the limited evidence for mallards and the expected persistence of diphacinone in birds, we assume that it is reasonable to use the results of an oral gavage study in deriving the avian effects metric for this pesticide.</w:t>
      </w:r>
    </w:p>
    <w:p w:rsidR="00E60F11" w:rsidRDefault="00E60F11">
      <w:pPr>
        <w:rPr>
          <w:rFonts w:eastAsia="Times New Roman" w:cs="Times New Roman"/>
          <w:b/>
          <w:bCs/>
          <w:caps/>
          <w:kern w:val="32"/>
          <w:sz w:val="28"/>
          <w:szCs w:val="28"/>
          <w:lang w:val="en-US"/>
        </w:rPr>
      </w:pPr>
      <w:r>
        <w:br w:type="page"/>
      </w:r>
    </w:p>
    <w:p w:rsidR="00BC4189" w:rsidRPr="0099279C" w:rsidRDefault="0037403A" w:rsidP="003D4D0A">
      <w:pPr>
        <w:pStyle w:val="Heading1"/>
      </w:pPr>
      <w:bookmarkStart w:id="34" w:name="_Toc343007934"/>
      <w:r w:rsidRPr="0099279C">
        <w:t>risk Characterization</w:t>
      </w:r>
      <w:bookmarkEnd w:id="34"/>
    </w:p>
    <w:p w:rsidR="00D52406" w:rsidRPr="0065013D" w:rsidRDefault="00D52406" w:rsidP="00D52406">
      <w:pPr>
        <w:rPr>
          <w:sz w:val="24"/>
          <w:szCs w:val="24"/>
        </w:rPr>
      </w:pPr>
      <w:r w:rsidRPr="0065013D">
        <w:rPr>
          <w:sz w:val="24"/>
          <w:szCs w:val="24"/>
          <w:lang w:val="en-US"/>
        </w:rPr>
        <w:t>Model runs were conducted to determine how different application options (e.g., different application dates, differing rates of hazing success, etc</w:t>
      </w:r>
      <w:r w:rsidR="005A3977">
        <w:rPr>
          <w:sz w:val="24"/>
          <w:szCs w:val="24"/>
          <w:lang w:val="en-US"/>
        </w:rPr>
        <w:t>.</w:t>
      </w:r>
      <w:r w:rsidRPr="0065013D">
        <w:rPr>
          <w:sz w:val="24"/>
          <w:szCs w:val="24"/>
          <w:lang w:val="en-US"/>
        </w:rPr>
        <w:t>) for brodifacoum and diphacinone affected predictions regarding mortality of western gulls. The following sections describe the results of an analysis conducted to determine how many simulations were required to produce consistent model predictions</w:t>
      </w:r>
      <w:r w:rsidR="00636565">
        <w:rPr>
          <w:sz w:val="24"/>
          <w:szCs w:val="24"/>
          <w:lang w:val="en-US"/>
        </w:rPr>
        <w:t>. Subsequent sections describe</w:t>
      </w:r>
      <w:r w:rsidRPr="0065013D">
        <w:rPr>
          <w:sz w:val="24"/>
          <w:szCs w:val="24"/>
          <w:lang w:val="en-US"/>
        </w:rPr>
        <w:t xml:space="preserve"> the results of the model analyses conducted for brodifacoum and diphacinone.</w:t>
      </w:r>
      <w:r w:rsidR="004839AA">
        <w:rPr>
          <w:sz w:val="24"/>
          <w:szCs w:val="24"/>
          <w:lang w:val="en-US"/>
        </w:rPr>
        <w:t xml:space="preserve"> An analysis conducted by Nur et al. (</w:t>
      </w:r>
      <w:r w:rsidR="005A3977">
        <w:rPr>
          <w:sz w:val="24"/>
          <w:szCs w:val="24"/>
          <w:lang w:val="en-US"/>
        </w:rPr>
        <w:t>2012</w:t>
      </w:r>
      <w:r w:rsidR="004839AA">
        <w:rPr>
          <w:sz w:val="24"/>
          <w:szCs w:val="24"/>
          <w:lang w:val="en-US"/>
        </w:rPr>
        <w:t xml:space="preserve">) for western gulls on </w:t>
      </w:r>
      <w:r w:rsidR="00BE7C91">
        <w:rPr>
          <w:sz w:val="24"/>
          <w:szCs w:val="24"/>
          <w:lang w:val="en-US"/>
        </w:rPr>
        <w:t>SFI</w:t>
      </w:r>
      <w:r w:rsidR="004839AA">
        <w:rPr>
          <w:sz w:val="24"/>
          <w:szCs w:val="24"/>
          <w:lang w:val="en-US"/>
        </w:rPr>
        <w:t xml:space="preserve"> indicated that </w:t>
      </w:r>
      <w:r w:rsidR="006E39FD">
        <w:rPr>
          <w:sz w:val="24"/>
          <w:szCs w:val="24"/>
          <w:lang w:val="en-US"/>
        </w:rPr>
        <w:t>a</w:t>
      </w:r>
      <w:r w:rsidR="00EC7C92">
        <w:rPr>
          <w:sz w:val="24"/>
          <w:szCs w:val="24"/>
          <w:lang w:val="en-US"/>
        </w:rPr>
        <w:t xml:space="preserve"> one-time mortality event of </w:t>
      </w:r>
      <w:r w:rsidR="0068160F">
        <w:rPr>
          <w:sz w:val="24"/>
          <w:szCs w:val="24"/>
          <w:lang w:val="en-US"/>
        </w:rPr>
        <w:t xml:space="preserve">up to </w:t>
      </w:r>
      <w:r w:rsidR="00EC7C92">
        <w:rPr>
          <w:sz w:val="24"/>
          <w:szCs w:val="24"/>
          <w:lang w:val="en-US"/>
        </w:rPr>
        <w:t>1700 individual gulls would not result in a detectably significant change in the population trend of the western gull on the Farallones over a 20-year period</w:t>
      </w:r>
      <w:r w:rsidR="004839AA">
        <w:rPr>
          <w:sz w:val="24"/>
          <w:szCs w:val="24"/>
          <w:lang w:val="en-US"/>
        </w:rPr>
        <w:t xml:space="preserve">. We </w:t>
      </w:r>
      <w:r w:rsidR="005851E4">
        <w:rPr>
          <w:sz w:val="24"/>
          <w:szCs w:val="24"/>
          <w:lang w:val="en-US"/>
        </w:rPr>
        <w:t>compare our model predictions to this benchmark in this chapter</w:t>
      </w:r>
      <w:r w:rsidR="004839AA">
        <w:rPr>
          <w:sz w:val="24"/>
          <w:szCs w:val="24"/>
          <w:lang w:val="en-US"/>
        </w:rPr>
        <w:t>.</w:t>
      </w:r>
    </w:p>
    <w:p w:rsidR="001A513E" w:rsidRDefault="00D52406">
      <w:pPr>
        <w:pStyle w:val="Heading2"/>
      </w:pPr>
      <w:bookmarkStart w:id="35" w:name="_Toc343007935"/>
      <w:r w:rsidRPr="00101022">
        <w:t>Model Stability</w:t>
      </w:r>
      <w:bookmarkEnd w:id="35"/>
    </w:p>
    <w:p w:rsidR="00D52406" w:rsidRPr="0065013D" w:rsidRDefault="00D52406" w:rsidP="00D52406">
      <w:pPr>
        <w:rPr>
          <w:sz w:val="24"/>
          <w:szCs w:val="24"/>
          <w:lang w:val="en-US"/>
        </w:rPr>
      </w:pPr>
      <w:r w:rsidRPr="0065013D">
        <w:rPr>
          <w:sz w:val="24"/>
          <w:szCs w:val="24"/>
          <w:lang w:val="en-US"/>
        </w:rPr>
        <w:t xml:space="preserve">A model stability analysis was performed on the western gull risk model to determine the number of model simulations required to produce estimates of proportion mortality that are consistent from one model run to the next. </w:t>
      </w:r>
      <w:r w:rsidR="00134C44">
        <w:rPr>
          <w:sz w:val="24"/>
          <w:szCs w:val="24"/>
          <w:lang w:val="en-US"/>
        </w:rPr>
        <w:t xml:space="preserve">The baseline scenario for this analysis assumed an initial application date of November 29 for brodifacoum, a hazing success rate of </w:t>
      </w:r>
      <w:r w:rsidR="008F1922">
        <w:rPr>
          <w:sz w:val="24"/>
          <w:szCs w:val="24"/>
          <w:lang w:val="en-US"/>
        </w:rPr>
        <w:t>90</w:t>
      </w:r>
      <w:r w:rsidR="00134C44">
        <w:rPr>
          <w:sz w:val="24"/>
          <w:szCs w:val="24"/>
          <w:lang w:val="en-US"/>
        </w:rPr>
        <w:t>%</w:t>
      </w:r>
      <w:r w:rsidR="00E60F11">
        <w:rPr>
          <w:rStyle w:val="FootnoteReference"/>
          <w:sz w:val="24"/>
          <w:szCs w:val="24"/>
          <w:lang w:val="en-US"/>
        </w:rPr>
        <w:footnoteReference w:id="2"/>
      </w:r>
      <w:r w:rsidR="00134C44">
        <w:rPr>
          <w:sz w:val="24"/>
          <w:szCs w:val="24"/>
          <w:lang w:val="en-US"/>
        </w:rPr>
        <w:t>, and the time to the first significant rainfall event after the second and final application of 28 days.</w:t>
      </w:r>
      <w:r w:rsidRPr="0065013D">
        <w:rPr>
          <w:sz w:val="24"/>
          <w:szCs w:val="24"/>
          <w:lang w:val="en-US"/>
        </w:rPr>
        <w:t xml:space="preserve"> </w:t>
      </w:r>
      <w:r w:rsidR="00134C44">
        <w:rPr>
          <w:sz w:val="24"/>
          <w:szCs w:val="24"/>
          <w:lang w:val="en-US"/>
        </w:rPr>
        <w:t>All other input parameters are those listed in Table 3-1. We ran the model for simulation sizes ranging from</w:t>
      </w:r>
      <w:r w:rsidRPr="0065013D">
        <w:rPr>
          <w:sz w:val="24"/>
          <w:szCs w:val="24"/>
          <w:lang w:val="en-US"/>
        </w:rPr>
        <w:t xml:space="preserve"> 100 to 100,000 simulations, and the model was run 10 times for each </w:t>
      </w:r>
      <w:r w:rsidR="00134C44">
        <w:rPr>
          <w:sz w:val="24"/>
          <w:szCs w:val="24"/>
          <w:lang w:val="en-US"/>
        </w:rPr>
        <w:t>simulation size</w:t>
      </w:r>
      <w:r w:rsidRPr="0065013D">
        <w:rPr>
          <w:sz w:val="24"/>
          <w:szCs w:val="24"/>
          <w:lang w:val="en-US"/>
        </w:rPr>
        <w:t>. As expected, variability in predictions regarding proportion mortality decrease</w:t>
      </w:r>
      <w:r w:rsidR="00134C44">
        <w:rPr>
          <w:sz w:val="24"/>
          <w:szCs w:val="24"/>
          <w:lang w:val="en-US"/>
        </w:rPr>
        <w:t>d</w:t>
      </w:r>
      <w:r w:rsidRPr="0065013D">
        <w:rPr>
          <w:sz w:val="24"/>
          <w:szCs w:val="24"/>
          <w:lang w:val="en-US"/>
        </w:rPr>
        <w:t xml:space="preserve"> as the number of simulations increases (Figures </w:t>
      </w:r>
      <w:r w:rsidR="00134C44">
        <w:rPr>
          <w:sz w:val="24"/>
          <w:szCs w:val="24"/>
          <w:lang w:val="en-US"/>
        </w:rPr>
        <w:t>5</w:t>
      </w:r>
      <w:r w:rsidRPr="0065013D">
        <w:rPr>
          <w:sz w:val="24"/>
          <w:szCs w:val="24"/>
          <w:lang w:val="en-US"/>
        </w:rPr>
        <w:t>-</w:t>
      </w:r>
      <w:r w:rsidR="00134C44">
        <w:rPr>
          <w:sz w:val="24"/>
          <w:szCs w:val="24"/>
          <w:lang w:val="en-US"/>
        </w:rPr>
        <w:t>1</w:t>
      </w:r>
      <w:r w:rsidRPr="0065013D">
        <w:rPr>
          <w:sz w:val="24"/>
          <w:szCs w:val="24"/>
          <w:lang w:val="en-US"/>
        </w:rPr>
        <w:t xml:space="preserve"> and </w:t>
      </w:r>
      <w:r w:rsidR="00134C44">
        <w:rPr>
          <w:sz w:val="24"/>
          <w:szCs w:val="24"/>
          <w:lang w:val="en-US"/>
        </w:rPr>
        <w:t>5</w:t>
      </w:r>
      <w:r w:rsidRPr="0065013D">
        <w:rPr>
          <w:sz w:val="24"/>
          <w:szCs w:val="24"/>
          <w:lang w:val="en-US"/>
        </w:rPr>
        <w:t>-</w:t>
      </w:r>
      <w:r w:rsidR="00134C44">
        <w:rPr>
          <w:sz w:val="24"/>
          <w:szCs w:val="24"/>
          <w:lang w:val="en-US"/>
        </w:rPr>
        <w:t>2</w:t>
      </w:r>
      <w:r w:rsidRPr="0065013D">
        <w:rPr>
          <w:sz w:val="24"/>
          <w:szCs w:val="24"/>
          <w:lang w:val="en-US"/>
        </w:rPr>
        <w:t xml:space="preserve">). </w:t>
      </w:r>
      <w:r w:rsidR="00134C44">
        <w:rPr>
          <w:sz w:val="24"/>
          <w:szCs w:val="24"/>
          <w:lang w:val="en-US"/>
        </w:rPr>
        <w:t>The</w:t>
      </w:r>
      <w:r w:rsidRPr="0065013D">
        <w:rPr>
          <w:sz w:val="24"/>
          <w:szCs w:val="24"/>
          <w:lang w:val="en-US"/>
        </w:rPr>
        <w:t xml:space="preserve"> proportion gulls</w:t>
      </w:r>
      <w:r w:rsidR="00220780">
        <w:rPr>
          <w:sz w:val="24"/>
          <w:szCs w:val="24"/>
          <w:lang w:val="en-US"/>
        </w:rPr>
        <w:t xml:space="preserve"> at SFI experiencing mortality</w:t>
      </w:r>
      <w:r w:rsidRPr="0065013D">
        <w:rPr>
          <w:sz w:val="24"/>
          <w:szCs w:val="24"/>
          <w:lang w:val="en-US"/>
        </w:rPr>
        <w:t xml:space="preserve"> </w:t>
      </w:r>
      <w:r w:rsidR="00134C44">
        <w:rPr>
          <w:sz w:val="24"/>
          <w:szCs w:val="24"/>
          <w:lang w:val="en-US"/>
        </w:rPr>
        <w:t>had a wide range of</w:t>
      </w:r>
      <w:r w:rsidRPr="0065013D">
        <w:rPr>
          <w:sz w:val="24"/>
          <w:szCs w:val="24"/>
          <w:lang w:val="en-US"/>
        </w:rPr>
        <w:t xml:space="preserve"> 0.</w:t>
      </w:r>
      <w:r w:rsidR="00032DFA">
        <w:rPr>
          <w:sz w:val="24"/>
          <w:szCs w:val="24"/>
          <w:lang w:val="en-US"/>
        </w:rPr>
        <w:t>0780</w:t>
      </w:r>
      <w:r w:rsidR="008F1922" w:rsidRPr="0065013D">
        <w:rPr>
          <w:sz w:val="24"/>
          <w:szCs w:val="24"/>
          <w:lang w:val="en-US"/>
        </w:rPr>
        <w:t xml:space="preserve"> </w:t>
      </w:r>
      <w:r w:rsidRPr="0065013D">
        <w:rPr>
          <w:sz w:val="24"/>
          <w:szCs w:val="24"/>
          <w:lang w:val="en-US"/>
        </w:rPr>
        <w:t>to 0.</w:t>
      </w:r>
      <w:r w:rsidR="00032DFA">
        <w:rPr>
          <w:sz w:val="24"/>
          <w:szCs w:val="24"/>
          <w:lang w:val="en-US"/>
        </w:rPr>
        <w:t>0.106</w:t>
      </w:r>
      <w:r w:rsidR="008F1922" w:rsidRPr="0065013D">
        <w:rPr>
          <w:sz w:val="24"/>
          <w:szCs w:val="24"/>
          <w:lang w:val="en-US"/>
        </w:rPr>
        <w:t xml:space="preserve"> </w:t>
      </w:r>
      <w:r w:rsidR="00134C44">
        <w:rPr>
          <w:sz w:val="24"/>
          <w:szCs w:val="24"/>
          <w:lang w:val="en-US"/>
        </w:rPr>
        <w:t>for 100 simulation model runs but a much narrower range of</w:t>
      </w:r>
      <w:r w:rsidRPr="0065013D">
        <w:rPr>
          <w:sz w:val="24"/>
          <w:szCs w:val="24"/>
          <w:lang w:val="en-US"/>
        </w:rPr>
        <w:t xml:space="preserve"> 0.</w:t>
      </w:r>
      <w:r w:rsidR="00032DFA">
        <w:rPr>
          <w:sz w:val="24"/>
          <w:szCs w:val="24"/>
          <w:lang w:val="en-US"/>
        </w:rPr>
        <w:t>0894</w:t>
      </w:r>
      <w:r w:rsidR="008F1922" w:rsidRPr="0065013D">
        <w:rPr>
          <w:sz w:val="24"/>
          <w:szCs w:val="24"/>
          <w:lang w:val="en-US"/>
        </w:rPr>
        <w:t xml:space="preserve"> </w:t>
      </w:r>
      <w:r w:rsidRPr="0065013D">
        <w:rPr>
          <w:sz w:val="24"/>
          <w:szCs w:val="24"/>
          <w:lang w:val="en-US"/>
        </w:rPr>
        <w:t>to 0.</w:t>
      </w:r>
      <w:r w:rsidR="00032DFA">
        <w:rPr>
          <w:sz w:val="24"/>
          <w:szCs w:val="24"/>
          <w:lang w:val="en-US"/>
        </w:rPr>
        <w:t>0902</w:t>
      </w:r>
      <w:r w:rsidR="008F1922" w:rsidRPr="0065013D">
        <w:rPr>
          <w:sz w:val="24"/>
          <w:szCs w:val="24"/>
          <w:lang w:val="en-US"/>
        </w:rPr>
        <w:t xml:space="preserve"> </w:t>
      </w:r>
      <w:r w:rsidRPr="0065013D">
        <w:rPr>
          <w:sz w:val="24"/>
          <w:szCs w:val="24"/>
          <w:lang w:val="en-US"/>
        </w:rPr>
        <w:t>for 100,000 simulation</w:t>
      </w:r>
      <w:r w:rsidR="00134C44">
        <w:rPr>
          <w:sz w:val="24"/>
          <w:szCs w:val="24"/>
          <w:lang w:val="en-US"/>
        </w:rPr>
        <w:t xml:space="preserve"> model run</w:t>
      </w:r>
      <w:r w:rsidRPr="0065013D">
        <w:rPr>
          <w:sz w:val="24"/>
          <w:szCs w:val="24"/>
          <w:lang w:val="en-US"/>
        </w:rPr>
        <w:t>s. Further, the coefficients of variation for 100 and 100,000 simulation</w:t>
      </w:r>
      <w:r w:rsidR="00134C44">
        <w:rPr>
          <w:sz w:val="24"/>
          <w:szCs w:val="24"/>
          <w:lang w:val="en-US"/>
        </w:rPr>
        <w:t xml:space="preserve"> model run</w:t>
      </w:r>
      <w:r w:rsidRPr="0065013D">
        <w:rPr>
          <w:sz w:val="24"/>
          <w:szCs w:val="24"/>
          <w:lang w:val="en-US"/>
        </w:rPr>
        <w:t xml:space="preserve">s were </w:t>
      </w:r>
      <w:r w:rsidR="008F1922">
        <w:rPr>
          <w:sz w:val="24"/>
          <w:szCs w:val="24"/>
          <w:lang w:val="en-US"/>
        </w:rPr>
        <w:t>10.3</w:t>
      </w:r>
      <w:r w:rsidRPr="0065013D">
        <w:rPr>
          <w:sz w:val="24"/>
          <w:szCs w:val="24"/>
          <w:lang w:val="en-US"/>
        </w:rPr>
        <w:t xml:space="preserve"> and 0.</w:t>
      </w:r>
      <w:r w:rsidR="008F1922" w:rsidRPr="0065013D">
        <w:rPr>
          <w:sz w:val="24"/>
          <w:szCs w:val="24"/>
          <w:lang w:val="en-US"/>
        </w:rPr>
        <w:t>2</w:t>
      </w:r>
      <w:r w:rsidR="008F1922">
        <w:rPr>
          <w:sz w:val="24"/>
          <w:szCs w:val="24"/>
          <w:lang w:val="en-US"/>
        </w:rPr>
        <w:t>87</w:t>
      </w:r>
      <w:r w:rsidRPr="0065013D">
        <w:rPr>
          <w:sz w:val="24"/>
          <w:szCs w:val="24"/>
          <w:lang w:val="en-US"/>
        </w:rPr>
        <w:t>, respectively. Clearly, the more simulations, the lower the coefficient of variation and the increased likelihood that model runs will produce consistent predictions. For this assessment, 30,000 simulations were conducted for each model run because the coefficient of variation was quite low (0.</w:t>
      </w:r>
      <w:r w:rsidR="008F1922">
        <w:rPr>
          <w:sz w:val="24"/>
          <w:szCs w:val="24"/>
          <w:lang w:val="en-US"/>
        </w:rPr>
        <w:t>603</w:t>
      </w:r>
      <w:r w:rsidRPr="0065013D">
        <w:rPr>
          <w:sz w:val="24"/>
          <w:szCs w:val="24"/>
          <w:lang w:val="en-US"/>
        </w:rPr>
        <w:t xml:space="preserve">) with this number of simulations. In addition, little was gained in terms of model stability by increasing the number of simulations to 100,000 (Figures </w:t>
      </w:r>
      <w:r w:rsidR="00134C44">
        <w:rPr>
          <w:sz w:val="24"/>
          <w:szCs w:val="24"/>
          <w:lang w:val="en-US"/>
        </w:rPr>
        <w:t>5-1</w:t>
      </w:r>
      <w:r w:rsidRPr="0065013D">
        <w:rPr>
          <w:sz w:val="24"/>
          <w:szCs w:val="24"/>
          <w:lang w:val="en-US"/>
        </w:rPr>
        <w:t xml:space="preserve"> and </w:t>
      </w:r>
      <w:r w:rsidR="00134C44">
        <w:rPr>
          <w:sz w:val="24"/>
          <w:szCs w:val="24"/>
          <w:lang w:val="en-US"/>
        </w:rPr>
        <w:t>5-2</w:t>
      </w:r>
      <w:r w:rsidRPr="0065013D">
        <w:rPr>
          <w:sz w:val="24"/>
          <w:szCs w:val="24"/>
          <w:lang w:val="en-US"/>
        </w:rPr>
        <w:t>).</w:t>
      </w:r>
    </w:p>
    <w:p w:rsidR="00D52406" w:rsidRPr="00A80729" w:rsidRDefault="00D52406" w:rsidP="00D52406">
      <w:pPr>
        <w:rPr>
          <w:lang w:val="en-US"/>
        </w:rPr>
      </w:pPr>
    </w:p>
    <w:p w:rsidR="00D52406" w:rsidRDefault="0049682A" w:rsidP="00D52406">
      <w:pPr>
        <w:jc w:val="center"/>
        <w:rPr>
          <w:rFonts w:cs="Times New Roman"/>
          <w:sz w:val="24"/>
          <w:szCs w:val="24"/>
          <w:lang w:val="en-US"/>
        </w:rPr>
      </w:pPr>
      <w:r w:rsidRPr="0049682A">
        <w:rPr>
          <w:rFonts w:cs="Times New Roman"/>
          <w:noProof/>
          <w:sz w:val="24"/>
          <w:szCs w:val="24"/>
          <w:lang w:val="en-US"/>
        </w:rPr>
        <w:drawing>
          <wp:inline distT="0" distB="0" distL="0" distR="0" wp14:anchorId="726B74CC" wp14:editId="1F6CA3A9">
            <wp:extent cx="5734050" cy="3690938"/>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5-1</w:t>
      </w:r>
      <w:r>
        <w:rPr>
          <w:rFonts w:cs="Times New Roman"/>
          <w:b/>
          <w:sz w:val="24"/>
          <w:szCs w:val="24"/>
          <w:lang w:val="en-US"/>
        </w:rPr>
        <w:t>.</w:t>
      </w:r>
      <w:proofErr w:type="gramEnd"/>
      <w:r>
        <w:rPr>
          <w:rFonts w:cs="Times New Roman"/>
          <w:b/>
          <w:sz w:val="24"/>
          <w:szCs w:val="24"/>
          <w:lang w:val="en-US"/>
        </w:rPr>
        <w:t xml:space="preserve"> Results of the model stability analysis for proportion of dead western gulls exposed to brodifacoum in relation to the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D52406" w:rsidRDefault="00D52406" w:rsidP="00D52406">
      <w:pPr>
        <w:jc w:val="center"/>
        <w:rPr>
          <w:rFonts w:cs="Times New Roman"/>
          <w:b/>
          <w:sz w:val="24"/>
          <w:szCs w:val="24"/>
          <w:lang w:val="en-US"/>
        </w:rPr>
      </w:pPr>
    </w:p>
    <w:p w:rsidR="00D52406" w:rsidRDefault="0049682A" w:rsidP="00D52406">
      <w:pPr>
        <w:jc w:val="center"/>
        <w:rPr>
          <w:rFonts w:cs="Times New Roman"/>
          <w:b/>
          <w:sz w:val="24"/>
          <w:szCs w:val="24"/>
          <w:lang w:val="en-US"/>
        </w:rPr>
      </w:pPr>
      <w:r w:rsidRPr="0049682A">
        <w:rPr>
          <w:rFonts w:cs="Times New Roman"/>
          <w:b/>
          <w:noProof/>
          <w:sz w:val="24"/>
          <w:szCs w:val="24"/>
          <w:lang w:val="en-US"/>
        </w:rPr>
        <w:drawing>
          <wp:inline distT="0" distB="0" distL="0" distR="0" wp14:anchorId="25CF43DE" wp14:editId="1B6B5B57">
            <wp:extent cx="5543551" cy="3624264"/>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52406" w:rsidRPr="00A80729"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5-2</w:t>
      </w:r>
      <w:r>
        <w:rPr>
          <w:rFonts w:cs="Times New Roman"/>
          <w:b/>
          <w:sz w:val="24"/>
          <w:szCs w:val="24"/>
          <w:lang w:val="en-US"/>
        </w:rPr>
        <w:t>.</w:t>
      </w:r>
      <w:proofErr w:type="gramEnd"/>
      <w:r>
        <w:rPr>
          <w:rFonts w:cs="Times New Roman"/>
          <w:b/>
          <w:sz w:val="24"/>
          <w:szCs w:val="24"/>
          <w:lang w:val="en-US"/>
        </w:rPr>
        <w:t xml:space="preserve"> Results of the model stability analysis for the coefficient of variation of proportion of dead gulls exposed to brodifacoum in relation to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1A513E" w:rsidRDefault="00D52406">
      <w:pPr>
        <w:pStyle w:val="Heading2"/>
      </w:pPr>
      <w:bookmarkStart w:id="36" w:name="_Toc343007936"/>
      <w:r>
        <w:t>Model Results for Brodifacoum</w:t>
      </w:r>
      <w:bookmarkEnd w:id="36"/>
    </w:p>
    <w:p w:rsidR="00D52406" w:rsidRPr="0065013D" w:rsidRDefault="00D52406" w:rsidP="00D52406">
      <w:pPr>
        <w:rPr>
          <w:sz w:val="24"/>
          <w:szCs w:val="24"/>
        </w:rPr>
      </w:pPr>
      <w:r w:rsidRPr="0065013D">
        <w:rPr>
          <w:sz w:val="24"/>
          <w:szCs w:val="24"/>
          <w:lang w:val="en-US"/>
        </w:rPr>
        <w:t>The results of all model runs conducted for brodifacoum can be found in Appendix A. The following sections summarize the results for each of the major factors considered potentially important in designing an application and risk management strategy for brodifacoum.</w:t>
      </w:r>
      <w:r w:rsidR="001C5E37">
        <w:rPr>
          <w:sz w:val="24"/>
          <w:szCs w:val="24"/>
          <w:lang w:val="en-US"/>
        </w:rPr>
        <w:t xml:space="preserve"> Results are presented as the proportion and number of western gulls </w:t>
      </w:r>
      <w:r w:rsidR="003C00D1">
        <w:rPr>
          <w:sz w:val="24"/>
          <w:szCs w:val="24"/>
          <w:lang w:val="en-US"/>
        </w:rPr>
        <w:t xml:space="preserve">present at some point on SFI during the period November 1 to end of March that experience mortality </w:t>
      </w:r>
      <w:r w:rsidR="001C5E37">
        <w:rPr>
          <w:sz w:val="24"/>
          <w:szCs w:val="24"/>
          <w:lang w:val="en-US"/>
        </w:rPr>
        <w:t>based on various modifications of the input parameters</w:t>
      </w:r>
      <w:r w:rsidR="003C00D1">
        <w:rPr>
          <w:sz w:val="24"/>
          <w:szCs w:val="24"/>
          <w:lang w:val="en-US"/>
        </w:rPr>
        <w:t>.</w:t>
      </w:r>
      <w:r w:rsidR="00DD34F6" w:rsidRPr="00DD34F6">
        <w:rPr>
          <w:sz w:val="24"/>
          <w:szCs w:val="24"/>
          <w:lang w:val="en-US"/>
        </w:rPr>
        <w:t xml:space="preserve"> </w:t>
      </w:r>
      <w:r w:rsidR="00DD34F6">
        <w:rPr>
          <w:sz w:val="24"/>
          <w:szCs w:val="24"/>
          <w:lang w:val="en-US"/>
        </w:rPr>
        <w:t>The text and figures below provide examples from the various possible scenarios.</w:t>
      </w:r>
    </w:p>
    <w:p w:rsidR="001A513E" w:rsidRPr="00F94DD3" w:rsidRDefault="00A21E6A">
      <w:pPr>
        <w:pStyle w:val="Heading3"/>
      </w:pPr>
      <w:bookmarkStart w:id="37" w:name="_Toc343007937"/>
      <w:r w:rsidRPr="00F94DD3">
        <w:t>Initial Application Date</w:t>
      </w:r>
      <w:bookmarkEnd w:id="37"/>
    </w:p>
    <w:p w:rsidR="00D52406" w:rsidRDefault="00D52406" w:rsidP="00D52406">
      <w:pPr>
        <w:rPr>
          <w:rFonts w:cs="Times New Roman"/>
          <w:sz w:val="24"/>
          <w:szCs w:val="24"/>
          <w:lang w:val="en-US"/>
        </w:rPr>
      </w:pPr>
      <w:r>
        <w:rPr>
          <w:rFonts w:cs="Times New Roman"/>
          <w:sz w:val="24"/>
          <w:szCs w:val="24"/>
          <w:lang w:val="en-US"/>
        </w:rPr>
        <w:t xml:space="preserve">Model runs were performed to determine how initial application date of brodifacoum affected the proportion of dead western gulls (Figure </w:t>
      </w:r>
      <w:r w:rsidR="004839AA">
        <w:rPr>
          <w:rFonts w:cs="Times New Roman"/>
          <w:sz w:val="24"/>
          <w:szCs w:val="24"/>
          <w:lang w:val="en-US"/>
        </w:rPr>
        <w:t>5-3</w:t>
      </w:r>
      <w:r w:rsidR="00EE0BB7">
        <w:rPr>
          <w:rFonts w:cs="Times New Roman"/>
          <w:sz w:val="24"/>
          <w:szCs w:val="24"/>
          <w:lang w:val="en-US"/>
        </w:rPr>
        <w:t>, Appendix A</w:t>
      </w:r>
      <w:r>
        <w:rPr>
          <w:rFonts w:cs="Times New Roman"/>
          <w:sz w:val="24"/>
          <w:szCs w:val="24"/>
          <w:lang w:val="en-US"/>
        </w:rPr>
        <w:t xml:space="preserve">) and number of dead </w:t>
      </w:r>
      <w:r w:rsidR="00F814AC">
        <w:rPr>
          <w:rFonts w:cs="Times New Roman"/>
          <w:sz w:val="24"/>
          <w:szCs w:val="24"/>
          <w:lang w:val="en-US"/>
        </w:rPr>
        <w:t xml:space="preserve">western </w:t>
      </w:r>
      <w:r>
        <w:rPr>
          <w:rFonts w:cs="Times New Roman"/>
          <w:sz w:val="24"/>
          <w:szCs w:val="24"/>
          <w:lang w:val="en-US"/>
        </w:rPr>
        <w:t xml:space="preserve">gulls (Figure </w:t>
      </w:r>
      <w:r w:rsidR="004839AA">
        <w:rPr>
          <w:rFonts w:cs="Times New Roman"/>
          <w:sz w:val="24"/>
          <w:szCs w:val="24"/>
          <w:lang w:val="en-US"/>
        </w:rPr>
        <w:t>5-4</w:t>
      </w:r>
      <w:r w:rsidR="00EE0BB7">
        <w:rPr>
          <w:rFonts w:cs="Times New Roman"/>
          <w:sz w:val="24"/>
          <w:szCs w:val="24"/>
          <w:lang w:val="en-US"/>
        </w:rPr>
        <w:t>, Appendix A</w:t>
      </w:r>
      <w:r>
        <w:rPr>
          <w:rFonts w:cs="Times New Roman"/>
          <w:sz w:val="24"/>
          <w:szCs w:val="24"/>
          <w:lang w:val="en-US"/>
        </w:rPr>
        <w:t xml:space="preserve">) on </w:t>
      </w:r>
      <w:r w:rsidR="00BE7C91">
        <w:rPr>
          <w:rFonts w:cs="Times New Roman"/>
          <w:sz w:val="24"/>
          <w:szCs w:val="24"/>
          <w:lang w:val="en-US"/>
        </w:rPr>
        <w:t>SFI</w:t>
      </w:r>
      <w:r>
        <w:rPr>
          <w:rFonts w:cs="Times New Roman"/>
          <w:sz w:val="24"/>
          <w:szCs w:val="24"/>
          <w:lang w:val="en-US"/>
        </w:rPr>
        <w:t xml:space="preserve">. The results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involved a scenario where hazing was assumed to be 90% effective,</w:t>
      </w:r>
      <w:r w:rsidR="004839AA">
        <w:rPr>
          <w:rFonts w:cs="Times New Roman"/>
          <w:sz w:val="24"/>
          <w:szCs w:val="24"/>
          <w:lang w:val="en-US"/>
        </w:rPr>
        <w:t xml:space="preserve"> and </w:t>
      </w:r>
      <w:r>
        <w:rPr>
          <w:rFonts w:cs="Times New Roman"/>
          <w:sz w:val="24"/>
          <w:szCs w:val="24"/>
          <w:lang w:val="en-US"/>
        </w:rPr>
        <w:t>the first significant rainfall occurred 28 days after the second application</w:t>
      </w:r>
      <w:r w:rsidR="004839AA">
        <w:rPr>
          <w:rFonts w:cs="Times New Roman"/>
          <w:sz w:val="24"/>
          <w:szCs w:val="24"/>
          <w:lang w:val="en-US"/>
        </w:rPr>
        <w:t>. All other input values are listed in Table 3-1</w:t>
      </w:r>
      <w:r>
        <w:rPr>
          <w:rFonts w:cs="Times New Roman"/>
          <w:sz w:val="24"/>
          <w:szCs w:val="24"/>
          <w:lang w:val="en-US"/>
        </w:rPr>
        <w:t xml:space="preserve">. The results </w:t>
      </w:r>
      <w:r w:rsidR="004839AA">
        <w:rPr>
          <w:rFonts w:cs="Times New Roman"/>
          <w:sz w:val="24"/>
          <w:szCs w:val="24"/>
          <w:lang w:val="en-US"/>
        </w:rPr>
        <w:t>from</w:t>
      </w:r>
      <w:r>
        <w:rPr>
          <w:rFonts w:cs="Times New Roman"/>
          <w:sz w:val="24"/>
          <w:szCs w:val="24"/>
          <w:lang w:val="en-US"/>
        </w:rPr>
        <w:t xml:space="preserve"> other scenarios are shown in Appendix A. As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western gull mortality increases with later initial application dates, coinciding with </w:t>
      </w:r>
      <w:r w:rsidR="004839AA">
        <w:rPr>
          <w:rFonts w:cs="Times New Roman"/>
          <w:sz w:val="24"/>
          <w:szCs w:val="24"/>
          <w:lang w:val="en-US"/>
        </w:rPr>
        <w:t xml:space="preserve">the </w:t>
      </w:r>
      <w:r>
        <w:rPr>
          <w:rFonts w:cs="Times New Roman"/>
          <w:sz w:val="24"/>
          <w:szCs w:val="24"/>
          <w:lang w:val="en-US"/>
        </w:rPr>
        <w:t xml:space="preserve">increased numbers of gulls being present on </w:t>
      </w:r>
      <w:r w:rsidR="00BE7C91">
        <w:rPr>
          <w:rFonts w:cs="Times New Roman"/>
          <w:sz w:val="24"/>
          <w:szCs w:val="24"/>
          <w:lang w:val="en-US"/>
        </w:rPr>
        <w:t>SFI</w:t>
      </w:r>
      <w:r>
        <w:rPr>
          <w:rFonts w:cs="Times New Roman"/>
          <w:sz w:val="24"/>
          <w:szCs w:val="24"/>
          <w:lang w:val="en-US"/>
        </w:rPr>
        <w:t>. Predicted mortality did not change substantively with initial application date after approximately November 22</w:t>
      </w:r>
      <w:r w:rsidRPr="00456A32">
        <w:rPr>
          <w:rFonts w:cs="Times New Roman"/>
          <w:sz w:val="24"/>
          <w:szCs w:val="24"/>
          <w:vertAlign w:val="superscript"/>
          <w:lang w:val="en-US"/>
        </w:rPr>
        <w:t>nd</w:t>
      </w:r>
      <w:r>
        <w:rPr>
          <w:rFonts w:cs="Times New Roman"/>
          <w:sz w:val="24"/>
          <w:szCs w:val="24"/>
          <w:lang w:val="en-US"/>
        </w:rPr>
        <w:t>.</w:t>
      </w:r>
    </w:p>
    <w:p w:rsidR="00D52406" w:rsidRDefault="001A513E" w:rsidP="00D52406">
      <w:pPr>
        <w:jc w:val="center"/>
        <w:rPr>
          <w:rFonts w:cs="Times New Roman"/>
          <w:sz w:val="24"/>
          <w:szCs w:val="24"/>
          <w:lang w:val="en-US"/>
        </w:rPr>
      </w:pPr>
      <w:r>
        <w:rPr>
          <w:noProof/>
          <w:lang w:val="en-US"/>
        </w:rPr>
        <w:drawing>
          <wp:inline distT="0" distB="0" distL="0" distR="0" wp14:anchorId="2E9DAD3F" wp14:editId="720C200D">
            <wp:extent cx="5486400" cy="3200400"/>
            <wp:effectExtent l="0" t="0" r="0" b="0"/>
            <wp:docPr id="20"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4839AA">
        <w:rPr>
          <w:rFonts w:cs="Times New Roman"/>
          <w:b/>
          <w:sz w:val="24"/>
          <w:szCs w:val="24"/>
          <w:lang w:val="en-US"/>
        </w:rPr>
        <w:t>5-3</w:t>
      </w:r>
      <w:r>
        <w:rPr>
          <w:rFonts w:cs="Times New Roman"/>
          <w:b/>
          <w:sz w:val="24"/>
          <w:szCs w:val="24"/>
          <w:lang w:val="en-US"/>
        </w:rPr>
        <w:t>.</w:t>
      </w:r>
      <w:proofErr w:type="gramEnd"/>
      <w:r>
        <w:rPr>
          <w:rFonts w:cs="Times New Roman"/>
          <w:b/>
          <w:sz w:val="24"/>
          <w:szCs w:val="24"/>
          <w:lang w:val="en-US"/>
        </w:rPr>
        <w:t xml:space="preserve"> Model results for proportion of dead </w:t>
      </w:r>
      <w:r w:rsidR="00F814AC">
        <w:rPr>
          <w:rFonts w:cs="Times New Roman"/>
          <w:b/>
          <w:sz w:val="24"/>
          <w:szCs w:val="24"/>
          <w:lang w:val="en-US"/>
        </w:rPr>
        <w:t xml:space="preserve">western </w:t>
      </w:r>
      <w:r>
        <w:rPr>
          <w:rFonts w:cs="Times New Roman"/>
          <w:b/>
          <w:sz w:val="24"/>
          <w:szCs w:val="24"/>
          <w:lang w:val="en-US"/>
        </w:rPr>
        <w:t>gulls as a result of varying initial application date for brodifacoum</w:t>
      </w:r>
      <w:r w:rsidR="00D83554">
        <w:rPr>
          <w:rFonts w:cs="Times New Roman"/>
          <w:b/>
          <w:sz w:val="24"/>
          <w:szCs w:val="24"/>
          <w:lang w:val="en-US"/>
        </w:rPr>
        <w:t xml:space="preserve">, </w:t>
      </w:r>
      <w:r w:rsidR="00D83554" w:rsidRPr="00D83554">
        <w:rPr>
          <w:rFonts w:cs="Times New Roman"/>
          <w:b/>
          <w:sz w:val="24"/>
          <w:szCs w:val="24"/>
          <w:lang w:val="en-US"/>
        </w:rPr>
        <w:t xml:space="preserve">assuming </w:t>
      </w:r>
      <w:r w:rsidR="00AC0BF7" w:rsidRPr="00767A21">
        <w:rPr>
          <w:rFonts w:cs="Times New Roman"/>
          <w:b/>
          <w:sz w:val="24"/>
          <w:szCs w:val="24"/>
          <w:lang w:val="en-US"/>
        </w:rPr>
        <w:t xml:space="preserve">90% </w:t>
      </w:r>
      <w:r w:rsidR="007116E3" w:rsidRPr="007552C3">
        <w:rPr>
          <w:rFonts w:cs="Times New Roman"/>
          <w:b/>
          <w:sz w:val="24"/>
          <w:szCs w:val="24"/>
          <w:lang w:val="en-US"/>
        </w:rPr>
        <w:t>hazing effectiveness and 28 days until the first significant rainfall</w:t>
      </w:r>
      <w:r>
        <w:rPr>
          <w:rFonts w:cs="Times New Roman"/>
          <w:b/>
          <w:sz w:val="24"/>
          <w:szCs w:val="24"/>
          <w:lang w:val="en-US"/>
        </w:rPr>
        <w:t>.</w:t>
      </w:r>
      <w:r w:rsidR="00F94DD3">
        <w:rPr>
          <w:rFonts w:cs="Times New Roman"/>
          <w:b/>
          <w:sz w:val="24"/>
          <w:szCs w:val="24"/>
          <w:lang w:val="en-US"/>
        </w:rPr>
        <w:t xml:space="preserve"> All other input values are listed in Table 3-1.</w:t>
      </w:r>
    </w:p>
    <w:p w:rsidR="00D52406" w:rsidRPr="00B6373D" w:rsidRDefault="00D52406" w:rsidP="00D52406">
      <w:pPr>
        <w:jc w:val="center"/>
        <w:rPr>
          <w:rFonts w:cs="Times New Roman"/>
          <w:b/>
          <w:sz w:val="24"/>
          <w:szCs w:val="24"/>
          <w:lang w:val="en-US"/>
        </w:rPr>
      </w:pPr>
    </w:p>
    <w:p w:rsidR="00D52406" w:rsidRDefault="001A513E" w:rsidP="00D52406">
      <w:pPr>
        <w:jc w:val="center"/>
        <w:rPr>
          <w:rFonts w:cs="Times New Roman"/>
          <w:sz w:val="24"/>
          <w:szCs w:val="24"/>
          <w:lang w:val="en-US"/>
        </w:rPr>
      </w:pPr>
      <w:r>
        <w:rPr>
          <w:noProof/>
          <w:lang w:val="en-US"/>
        </w:rPr>
        <w:drawing>
          <wp:inline distT="0" distB="0" distL="0" distR="0" wp14:anchorId="28C8F077" wp14:editId="3FBDC020">
            <wp:extent cx="5486400" cy="3200400"/>
            <wp:effectExtent l="0" t="0" r="0" b="0"/>
            <wp:docPr id="21"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4839AA">
        <w:rPr>
          <w:rFonts w:cs="Times New Roman"/>
          <w:b/>
          <w:sz w:val="24"/>
          <w:szCs w:val="24"/>
          <w:lang w:val="en-US"/>
        </w:rPr>
        <w:t>5-4</w:t>
      </w:r>
      <w:r>
        <w:rPr>
          <w:rFonts w:cs="Times New Roman"/>
          <w:b/>
          <w:sz w:val="24"/>
          <w:szCs w:val="24"/>
          <w:lang w:val="en-US"/>
        </w:rPr>
        <w:t>.</w:t>
      </w:r>
      <w:proofErr w:type="gramEnd"/>
      <w:r w:rsidRPr="0089067B">
        <w:rPr>
          <w:rFonts w:cs="Times New Roman"/>
          <w:b/>
          <w:sz w:val="24"/>
          <w:szCs w:val="24"/>
          <w:lang w:val="en-US"/>
        </w:rPr>
        <w:t xml:space="preserve"> </w:t>
      </w:r>
      <w:r w:rsidR="001A513E">
        <w:rPr>
          <w:rFonts w:cs="Times New Roman"/>
          <w:b/>
          <w:sz w:val="24"/>
          <w:szCs w:val="24"/>
          <w:lang w:val="en-US"/>
        </w:rPr>
        <w:t>Model results for number of dead gulls as a result of varying initial application date for brodifacoum</w:t>
      </w:r>
      <w:r w:rsidR="00F94DD3">
        <w:rPr>
          <w:rFonts w:cs="Times New Roman"/>
          <w:b/>
          <w:sz w:val="24"/>
          <w:szCs w:val="24"/>
          <w:lang w:val="en-US"/>
        </w:rPr>
        <w:t xml:space="preserve">, </w:t>
      </w:r>
      <w:r w:rsidR="00F94DD3" w:rsidRPr="00D83554">
        <w:rPr>
          <w:rFonts w:cs="Times New Roman"/>
          <w:b/>
          <w:sz w:val="24"/>
          <w:szCs w:val="24"/>
          <w:lang w:val="en-US"/>
        </w:rPr>
        <w:t xml:space="preserve">assuming </w:t>
      </w:r>
      <w:r w:rsidR="00F94DD3" w:rsidRPr="00767A21">
        <w:rPr>
          <w:rFonts w:cs="Times New Roman"/>
          <w:b/>
          <w:sz w:val="24"/>
          <w:szCs w:val="24"/>
          <w:lang w:val="en-US"/>
        </w:rPr>
        <w:t xml:space="preserve">90% </w:t>
      </w:r>
      <w:r w:rsidR="00F94DD3" w:rsidRPr="007552C3">
        <w:rPr>
          <w:rFonts w:cs="Times New Roman"/>
          <w:b/>
          <w:sz w:val="24"/>
          <w:szCs w:val="24"/>
          <w:lang w:val="en-US"/>
        </w:rPr>
        <w:t>hazing effectiveness and 28 days until the first significant rainfall</w:t>
      </w:r>
      <w:r w:rsidR="00F94DD3">
        <w:rPr>
          <w:rFonts w:cs="Times New Roman"/>
          <w:b/>
          <w:sz w:val="24"/>
          <w:szCs w:val="24"/>
          <w:lang w:val="en-US"/>
        </w:rPr>
        <w:t>. All other input values are listed in Table 3-1.</w:t>
      </w:r>
      <w:r w:rsidR="001A513E">
        <w:rPr>
          <w:rFonts w:cs="Times New Roman"/>
          <w:b/>
          <w:sz w:val="24"/>
          <w:szCs w:val="24"/>
          <w:lang w:val="en-US"/>
        </w:rPr>
        <w:t xml:space="preserve"> </w:t>
      </w:r>
      <w:r>
        <w:rPr>
          <w:rFonts w:cs="Times New Roman"/>
          <w:b/>
          <w:sz w:val="24"/>
          <w:szCs w:val="24"/>
          <w:lang w:val="en-US"/>
        </w:rPr>
        <w:t>The dashed line represents 1700 dead gulls, the number considered the maximum possible without affecting long-term population viability.</w:t>
      </w:r>
    </w:p>
    <w:p w:rsidR="00085428" w:rsidRDefault="00085428" w:rsidP="00D52406">
      <w:pPr>
        <w:rPr>
          <w:rFonts w:cs="Times New Roman"/>
          <w:i/>
          <w:sz w:val="24"/>
          <w:szCs w:val="24"/>
          <w:lang w:val="en-US"/>
        </w:rPr>
      </w:pPr>
    </w:p>
    <w:p w:rsidR="001A513E" w:rsidRDefault="00D52406">
      <w:pPr>
        <w:pStyle w:val="Heading3"/>
      </w:pPr>
      <w:bookmarkStart w:id="38" w:name="_Toc343007938"/>
      <w:r>
        <w:t xml:space="preserve">Proportion of Gulls Removed From </w:t>
      </w:r>
      <w:r w:rsidR="00BE7C91">
        <w:t>SFI</w:t>
      </w:r>
      <w:r>
        <w:t xml:space="preserve"> by Hazing</w:t>
      </w:r>
      <w:bookmarkEnd w:id="38"/>
    </w:p>
    <w:p w:rsidR="002B4CD9" w:rsidRPr="002B4CD9" w:rsidRDefault="00D52406" w:rsidP="002B4CD9">
      <w:pPr>
        <w:rPr>
          <w:rFonts w:cs="Times New Roman"/>
          <w:sz w:val="24"/>
          <w:szCs w:val="24"/>
          <w:lang w:val="en-US"/>
        </w:rPr>
      </w:pPr>
      <w:r>
        <w:rPr>
          <w:rFonts w:cs="Times New Roman"/>
          <w:sz w:val="24"/>
          <w:szCs w:val="24"/>
          <w:lang w:val="en-US"/>
        </w:rPr>
        <w:t xml:space="preserve">The utility of hazing in reducing gull mortality was investigated by varying hazing success from </w:t>
      </w:r>
      <w:r w:rsidR="002B4CD9" w:rsidRPr="002B4CD9">
        <w:rPr>
          <w:rFonts w:cs="Times New Roman"/>
          <w:sz w:val="24"/>
          <w:szCs w:val="24"/>
          <w:lang w:val="en-US"/>
        </w:rPr>
        <w:t>75% to 98%. For the results shown in Figures 5-5 and 5-6, the date of initial application was November 29</w:t>
      </w:r>
      <w:r w:rsidR="002B4CD9" w:rsidRPr="002B4CD9">
        <w:rPr>
          <w:rFonts w:cs="Times New Roman"/>
          <w:sz w:val="24"/>
          <w:szCs w:val="24"/>
          <w:vertAlign w:val="superscript"/>
          <w:lang w:val="en-US"/>
        </w:rPr>
        <w:t>th</w:t>
      </w:r>
      <w:r w:rsidR="002B4CD9" w:rsidRPr="002B4CD9">
        <w:rPr>
          <w:rFonts w:cs="Times New Roman"/>
          <w:sz w:val="24"/>
          <w:szCs w:val="24"/>
          <w:lang w:val="en-US"/>
        </w:rPr>
        <w:t>, and there were 28 days until the first significant rainfall following the second application (see Table 3-1 for other inputs). The results of other scenarios are shown in Appendix A. As expected, there was a strong negative relationship between gull mortality and hazing success (Figures 5-5 and 5-6) and the threshold of 1700 dead gulls was surpassed with 75% hazing success (Figure 5-6). The results in Appendix A indicate that 90% hazing success is required to ensure that the threshold of 1700 gulls is not surpassed for all possible initial application dates and to cover the range of possible dates over which the first significant rainfall event occurs following the second application of brodifacoum.</w:t>
      </w:r>
    </w:p>
    <w:p w:rsidR="00D52406" w:rsidRDefault="00780085" w:rsidP="00D52406">
      <w:pPr>
        <w:jc w:val="center"/>
        <w:rPr>
          <w:rFonts w:cs="Times New Roman"/>
          <w:sz w:val="24"/>
          <w:szCs w:val="24"/>
          <w:lang w:val="en-US"/>
        </w:rPr>
      </w:pPr>
      <w:r w:rsidRPr="00780085">
        <w:rPr>
          <w:rFonts w:cs="Times New Roman"/>
          <w:noProof/>
          <w:sz w:val="24"/>
          <w:szCs w:val="24"/>
          <w:lang w:val="en-US"/>
        </w:rPr>
        <w:drawing>
          <wp:inline distT="0" distB="0" distL="0" distR="0" wp14:anchorId="014A284D" wp14:editId="14F8D077">
            <wp:extent cx="4572000" cy="2743200"/>
            <wp:effectExtent l="0" t="0" r="0" b="0"/>
            <wp:docPr id="1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52406" w:rsidRPr="00B6373D"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5706FF">
        <w:rPr>
          <w:rFonts w:cs="Times New Roman"/>
          <w:b/>
          <w:sz w:val="24"/>
          <w:szCs w:val="24"/>
          <w:lang w:val="en-US"/>
        </w:rPr>
        <w:t>5-5</w:t>
      </w:r>
      <w:r>
        <w:rPr>
          <w:rFonts w:cs="Times New Roman"/>
          <w:b/>
          <w:sz w:val="24"/>
          <w:szCs w:val="24"/>
          <w:lang w:val="en-US"/>
        </w:rPr>
        <w:t>.</w:t>
      </w:r>
      <w:proofErr w:type="gramEnd"/>
      <w:r>
        <w:rPr>
          <w:rFonts w:cs="Times New Roman"/>
          <w:b/>
          <w:sz w:val="24"/>
          <w:szCs w:val="24"/>
          <w:lang w:val="en-US"/>
        </w:rPr>
        <w:t xml:space="preserve"> Model results for proportion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28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w:t>
      </w:r>
    </w:p>
    <w:p w:rsidR="00D52406" w:rsidRDefault="00D52406" w:rsidP="00D52406">
      <w:pPr>
        <w:rPr>
          <w:rFonts w:cs="Times New Roman"/>
          <w:sz w:val="24"/>
          <w:szCs w:val="24"/>
          <w:lang w:val="en-US"/>
        </w:rPr>
      </w:pPr>
    </w:p>
    <w:p w:rsidR="00D52406" w:rsidRPr="006F4011" w:rsidRDefault="00CB7F88" w:rsidP="00D52406">
      <w:pPr>
        <w:jc w:val="center"/>
        <w:rPr>
          <w:rFonts w:cs="Times New Roman"/>
          <w:sz w:val="24"/>
          <w:szCs w:val="24"/>
          <w:lang w:val="en-US"/>
        </w:rPr>
      </w:pPr>
      <w:r w:rsidRPr="00CB7F88">
        <w:rPr>
          <w:rFonts w:cs="Times New Roman"/>
          <w:noProof/>
          <w:sz w:val="24"/>
          <w:szCs w:val="24"/>
          <w:lang w:val="en-US"/>
        </w:rPr>
        <w:drawing>
          <wp:inline distT="0" distB="0" distL="0" distR="0" wp14:anchorId="28622B71" wp14:editId="59295498">
            <wp:extent cx="4572000" cy="2743200"/>
            <wp:effectExtent l="0" t="0" r="0" b="0"/>
            <wp:docPr id="1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5706FF">
        <w:rPr>
          <w:rFonts w:cs="Times New Roman"/>
          <w:b/>
          <w:sz w:val="24"/>
          <w:szCs w:val="24"/>
          <w:lang w:val="en-US"/>
        </w:rPr>
        <w:t>5-6</w:t>
      </w:r>
      <w:r>
        <w:rPr>
          <w:rFonts w:cs="Times New Roman"/>
          <w:b/>
          <w:sz w:val="24"/>
          <w:szCs w:val="24"/>
          <w:lang w:val="en-US"/>
        </w:rPr>
        <w:t>. Model results for number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28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 The dashed line represents 1700 dead gulls.</w:t>
      </w:r>
    </w:p>
    <w:p w:rsidR="001A513E" w:rsidRDefault="00D24F61">
      <w:pPr>
        <w:pStyle w:val="Heading3"/>
      </w:pPr>
      <w:bookmarkStart w:id="39" w:name="_Toc343007939"/>
      <w:r w:rsidRPr="00D24F61">
        <w:t>Time to Significant Rainfall Event</w:t>
      </w:r>
      <w:bookmarkEnd w:id="39"/>
    </w:p>
    <w:p w:rsidR="00D52406" w:rsidRDefault="00D52406" w:rsidP="00D52406">
      <w:pPr>
        <w:keepNext/>
        <w:keepLines/>
        <w:rPr>
          <w:rFonts w:cs="Times New Roman"/>
          <w:sz w:val="24"/>
          <w:szCs w:val="24"/>
          <w:lang w:val="en-US"/>
        </w:rPr>
      </w:pPr>
      <w:r>
        <w:rPr>
          <w:rFonts w:cs="Times New Roman"/>
          <w:sz w:val="24"/>
          <w:szCs w:val="24"/>
          <w:lang w:val="en-US"/>
        </w:rPr>
        <w:t xml:space="preserve">A </w:t>
      </w:r>
      <w:r w:rsidR="008A10A1">
        <w:rPr>
          <w:rFonts w:cs="Times New Roman"/>
          <w:sz w:val="24"/>
          <w:szCs w:val="24"/>
          <w:lang w:val="en-US"/>
        </w:rPr>
        <w:t>s</w:t>
      </w:r>
      <w:r>
        <w:rPr>
          <w:rFonts w:cs="Times New Roman"/>
          <w:sz w:val="24"/>
          <w:szCs w:val="24"/>
          <w:lang w:val="en-US"/>
        </w:rPr>
        <w:t xml:space="preserve">ignificant </w:t>
      </w:r>
      <w:r w:rsidR="008A10A1">
        <w:rPr>
          <w:rFonts w:cs="Times New Roman"/>
          <w:sz w:val="24"/>
          <w:szCs w:val="24"/>
          <w:lang w:val="en-US"/>
        </w:rPr>
        <w:t>r</w:t>
      </w:r>
      <w:r>
        <w:rPr>
          <w:rFonts w:cs="Times New Roman"/>
          <w:sz w:val="24"/>
          <w:szCs w:val="24"/>
          <w:lang w:val="en-US"/>
        </w:rPr>
        <w:t xml:space="preserve">ainfall </w:t>
      </w:r>
      <w:r w:rsidR="008A10A1">
        <w:rPr>
          <w:rFonts w:cs="Times New Roman"/>
          <w:sz w:val="24"/>
          <w:szCs w:val="24"/>
          <w:lang w:val="en-US"/>
        </w:rPr>
        <w:t>e</w:t>
      </w:r>
      <w:r>
        <w:rPr>
          <w:rFonts w:cs="Times New Roman"/>
          <w:sz w:val="24"/>
          <w:szCs w:val="24"/>
          <w:lang w:val="en-US"/>
        </w:rPr>
        <w:t xml:space="preserve">vent is one in which </w:t>
      </w:r>
      <w:r w:rsidR="008A10A1">
        <w:rPr>
          <w:rFonts w:cs="Times New Roman"/>
          <w:sz w:val="24"/>
          <w:szCs w:val="24"/>
          <w:lang w:val="en-US"/>
        </w:rPr>
        <w:t>sufficient</w:t>
      </w:r>
      <w:r>
        <w:rPr>
          <w:rFonts w:cs="Times New Roman"/>
          <w:sz w:val="24"/>
          <w:szCs w:val="24"/>
          <w:lang w:val="en-US"/>
        </w:rPr>
        <w:t xml:space="preserve"> rain falls to degrade remaining bait pellets</w:t>
      </w:r>
      <w:r w:rsidR="008A10A1">
        <w:rPr>
          <w:rFonts w:cs="Times New Roman"/>
          <w:sz w:val="24"/>
          <w:szCs w:val="24"/>
          <w:lang w:val="en-US"/>
        </w:rPr>
        <w:t xml:space="preserve"> (i.e., at least 2 inches in 1-3 </w:t>
      </w:r>
      <w:proofErr w:type="gramStart"/>
      <w:r w:rsidR="008A10A1">
        <w:rPr>
          <w:rFonts w:cs="Times New Roman"/>
          <w:sz w:val="24"/>
          <w:szCs w:val="24"/>
          <w:lang w:val="en-US"/>
        </w:rPr>
        <w:t>day</w:t>
      </w:r>
      <w:proofErr w:type="gramEnd"/>
      <w:r w:rsidR="008A10A1">
        <w:rPr>
          <w:rFonts w:cs="Times New Roman"/>
          <w:sz w:val="24"/>
          <w:szCs w:val="24"/>
          <w:lang w:val="en-US"/>
        </w:rPr>
        <w:t xml:space="preserve"> time span)</w:t>
      </w:r>
      <w:r>
        <w:rPr>
          <w:rFonts w:cs="Times New Roman"/>
          <w:sz w:val="24"/>
          <w:szCs w:val="24"/>
          <w:lang w:val="en-US"/>
        </w:rPr>
        <w:t xml:space="preserve">. Dates of historic rainfall events were compiled and analyzed to determine a best, worst, and most likely scenario. The model was then run to determine the proportion (Figure </w:t>
      </w:r>
      <w:r w:rsidR="008A10A1">
        <w:rPr>
          <w:rFonts w:cs="Times New Roman"/>
          <w:sz w:val="24"/>
          <w:szCs w:val="24"/>
          <w:lang w:val="en-US"/>
        </w:rPr>
        <w:t>5-7</w:t>
      </w:r>
      <w:r>
        <w:rPr>
          <w:rFonts w:cs="Times New Roman"/>
          <w:sz w:val="24"/>
          <w:szCs w:val="24"/>
          <w:lang w:val="en-US"/>
        </w:rPr>
        <w:t xml:space="preserve">) and </w:t>
      </w:r>
      <w:r w:rsidR="008A10A1">
        <w:rPr>
          <w:rFonts w:cs="Times New Roman"/>
          <w:sz w:val="24"/>
          <w:szCs w:val="24"/>
          <w:lang w:val="en-US"/>
        </w:rPr>
        <w:t>number</w:t>
      </w:r>
      <w:r>
        <w:rPr>
          <w:rFonts w:cs="Times New Roman"/>
          <w:sz w:val="24"/>
          <w:szCs w:val="24"/>
          <w:lang w:val="en-US"/>
        </w:rPr>
        <w:t xml:space="preserve"> (Figure </w:t>
      </w:r>
      <w:r w:rsidR="008A10A1">
        <w:rPr>
          <w:rFonts w:cs="Times New Roman"/>
          <w:sz w:val="24"/>
          <w:szCs w:val="24"/>
          <w:lang w:val="en-US"/>
        </w:rPr>
        <w:t>5-8</w:t>
      </w:r>
      <w:r>
        <w:rPr>
          <w:rFonts w:cs="Times New Roman"/>
          <w:sz w:val="24"/>
          <w:szCs w:val="24"/>
          <w:lang w:val="en-US"/>
        </w:rPr>
        <w:t xml:space="preserve">) of dead birds following each length of time until the rainfall event. </w:t>
      </w:r>
      <w:r w:rsidR="008A10A1">
        <w:rPr>
          <w:rFonts w:cs="Times New Roman"/>
          <w:sz w:val="24"/>
          <w:szCs w:val="24"/>
          <w:lang w:val="en-US"/>
        </w:rPr>
        <w:t>The scenario shown</w:t>
      </w:r>
      <w:r>
        <w:rPr>
          <w:rFonts w:cs="Times New Roman"/>
          <w:sz w:val="24"/>
          <w:szCs w:val="24"/>
          <w:lang w:val="en-US"/>
        </w:rPr>
        <w:t xml:space="preserve"> in </w:t>
      </w:r>
      <w:r w:rsidR="008A10A1">
        <w:rPr>
          <w:rFonts w:cs="Times New Roman"/>
          <w:sz w:val="24"/>
          <w:szCs w:val="24"/>
          <w:lang w:val="en-US"/>
        </w:rPr>
        <w:t>Figures 5-7 and 5-8</w:t>
      </w:r>
      <w:r>
        <w:rPr>
          <w:rFonts w:cs="Times New Roman"/>
          <w:sz w:val="24"/>
          <w:szCs w:val="24"/>
          <w:lang w:val="en-US"/>
        </w:rPr>
        <w:t xml:space="preserve"> </w:t>
      </w:r>
      <w:r w:rsidR="008A10A1">
        <w:rPr>
          <w:rFonts w:cs="Times New Roman"/>
          <w:sz w:val="24"/>
          <w:szCs w:val="24"/>
          <w:lang w:val="en-US"/>
        </w:rPr>
        <w:t>assumed</w:t>
      </w:r>
      <w:r>
        <w:rPr>
          <w:rFonts w:cs="Times New Roman"/>
          <w:sz w:val="24"/>
          <w:szCs w:val="24"/>
          <w:lang w:val="en-US"/>
        </w:rPr>
        <w:t xml:space="preserve"> </w:t>
      </w:r>
      <w:r w:rsidR="008A10A1">
        <w:rPr>
          <w:rFonts w:cs="Times New Roman"/>
          <w:sz w:val="24"/>
          <w:szCs w:val="24"/>
          <w:lang w:val="en-US"/>
        </w:rPr>
        <w:t>an initial application date of</w:t>
      </w:r>
      <w:r>
        <w:rPr>
          <w:rFonts w:cs="Times New Roman"/>
          <w:sz w:val="24"/>
          <w:szCs w:val="24"/>
          <w:lang w:val="en-US"/>
        </w:rPr>
        <w:t xml:space="preserve"> </w:t>
      </w:r>
      <w:r w:rsidR="008E5CAB" w:rsidRPr="008E5CAB">
        <w:rPr>
          <w:rFonts w:cs="Times New Roman"/>
          <w:sz w:val="24"/>
          <w:szCs w:val="24"/>
          <w:lang w:val="en-US"/>
        </w:rPr>
        <w:t>November 29</w:t>
      </w:r>
      <w:r w:rsidR="008E5CAB" w:rsidRPr="008E5CAB">
        <w:rPr>
          <w:rFonts w:cs="Times New Roman"/>
          <w:sz w:val="24"/>
          <w:szCs w:val="24"/>
          <w:vertAlign w:val="superscript"/>
          <w:lang w:val="en-US"/>
        </w:rPr>
        <w:t>th</w:t>
      </w:r>
      <w:r w:rsidR="008E5CAB" w:rsidRPr="008E5CAB">
        <w:rPr>
          <w:rFonts w:cs="Times New Roman"/>
          <w:sz w:val="24"/>
          <w:szCs w:val="24"/>
          <w:lang w:val="en-US"/>
        </w:rPr>
        <w:t xml:space="preserve"> </w:t>
      </w:r>
      <w:r w:rsidR="008A10A1">
        <w:rPr>
          <w:rFonts w:cs="Times New Roman"/>
          <w:sz w:val="24"/>
          <w:szCs w:val="24"/>
          <w:lang w:val="en-US"/>
        </w:rPr>
        <w:t>and that hazing success was 90% (see Table 3-1 for other inputs)</w:t>
      </w:r>
      <w:r>
        <w:rPr>
          <w:rFonts w:cs="Times New Roman"/>
          <w:sz w:val="24"/>
          <w:szCs w:val="24"/>
          <w:lang w:val="en-US"/>
        </w:rPr>
        <w:t xml:space="preserve">. The results indicate that the proportion and </w:t>
      </w:r>
      <w:r w:rsidR="008A10A1">
        <w:rPr>
          <w:rFonts w:cs="Times New Roman"/>
          <w:sz w:val="24"/>
          <w:szCs w:val="24"/>
          <w:lang w:val="en-US"/>
        </w:rPr>
        <w:t>number</w:t>
      </w:r>
      <w:r>
        <w:rPr>
          <w:rFonts w:cs="Times New Roman"/>
          <w:sz w:val="24"/>
          <w:szCs w:val="24"/>
          <w:lang w:val="en-US"/>
        </w:rPr>
        <w:t xml:space="preserve"> of dead birds increased with increasing time until the rainfall event. However, the quantity of dead birds was below the threshold of 1700 dead birds for all scenarios</w:t>
      </w:r>
      <w:r w:rsidR="008A10A1">
        <w:rPr>
          <w:rFonts w:cs="Times New Roman"/>
          <w:sz w:val="24"/>
          <w:szCs w:val="24"/>
          <w:lang w:val="en-US"/>
        </w:rPr>
        <w:t xml:space="preserve"> with 90% hazing success (Appendix A)</w:t>
      </w:r>
      <w:r>
        <w:rPr>
          <w:rFonts w:cs="Times New Roman"/>
          <w:sz w:val="24"/>
          <w:szCs w:val="24"/>
          <w:lang w:val="en-US"/>
        </w:rPr>
        <w:t>.</w:t>
      </w:r>
    </w:p>
    <w:p w:rsidR="00354291" w:rsidRDefault="00354291" w:rsidP="00D52406">
      <w:pPr>
        <w:keepNext/>
        <w:keepLines/>
        <w:rPr>
          <w:rFonts w:cs="Times New Roman"/>
          <w:sz w:val="24"/>
          <w:szCs w:val="24"/>
          <w:lang w:val="en-US"/>
        </w:rPr>
      </w:pPr>
    </w:p>
    <w:p w:rsidR="00D52406" w:rsidRDefault="001A513E" w:rsidP="00D52406">
      <w:pPr>
        <w:jc w:val="center"/>
        <w:rPr>
          <w:rFonts w:cs="Times New Roman"/>
          <w:b/>
          <w:sz w:val="24"/>
          <w:szCs w:val="24"/>
          <w:lang w:val="en-US"/>
        </w:rPr>
      </w:pPr>
      <w:r>
        <w:rPr>
          <w:noProof/>
          <w:lang w:val="en-US"/>
        </w:rPr>
        <w:drawing>
          <wp:inline distT="0" distB="0" distL="0" distR="0" wp14:anchorId="02224BB9" wp14:editId="78BFBA37">
            <wp:extent cx="5542059" cy="3200400"/>
            <wp:effectExtent l="0" t="0" r="0" b="0"/>
            <wp:docPr id="31"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5-7</w:t>
      </w:r>
      <w:r>
        <w:rPr>
          <w:rFonts w:cs="Times New Roman"/>
          <w:b/>
          <w:sz w:val="24"/>
          <w:szCs w:val="24"/>
          <w:lang w:val="en-US"/>
        </w:rPr>
        <w:t xml:space="preserve">. </w:t>
      </w:r>
      <w:r w:rsidR="008A10A1">
        <w:rPr>
          <w:rFonts w:cs="Times New Roman"/>
          <w:b/>
          <w:sz w:val="24"/>
          <w:szCs w:val="24"/>
          <w:lang w:val="en-US"/>
        </w:rPr>
        <w:t>Model results for proportion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jc w:val="center"/>
        <w:rPr>
          <w:rFonts w:cs="Times New Roman"/>
          <w:b/>
          <w:sz w:val="24"/>
          <w:szCs w:val="24"/>
          <w:lang w:val="en-US"/>
        </w:rPr>
      </w:pPr>
    </w:p>
    <w:p w:rsidR="00D52406" w:rsidRDefault="001A513E" w:rsidP="00D52406">
      <w:pPr>
        <w:jc w:val="center"/>
        <w:rPr>
          <w:rFonts w:cs="Times New Roman"/>
          <w:b/>
          <w:sz w:val="24"/>
          <w:szCs w:val="24"/>
          <w:lang w:val="en-US"/>
        </w:rPr>
      </w:pPr>
      <w:r>
        <w:rPr>
          <w:noProof/>
          <w:lang w:val="en-US"/>
        </w:rPr>
        <w:drawing>
          <wp:inline distT="0" distB="0" distL="0" distR="0" wp14:anchorId="6E57D128" wp14:editId="39FFE1FE">
            <wp:extent cx="5486400" cy="3200400"/>
            <wp:effectExtent l="0" t="0" r="0" b="0"/>
            <wp:docPr id="35"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5-8</w:t>
      </w:r>
      <w:r>
        <w:rPr>
          <w:rFonts w:cs="Times New Roman"/>
          <w:b/>
          <w:sz w:val="24"/>
          <w:szCs w:val="24"/>
          <w:lang w:val="en-US"/>
        </w:rPr>
        <w:t xml:space="preserve">. </w:t>
      </w:r>
      <w:r w:rsidR="008A10A1">
        <w:rPr>
          <w:rFonts w:cs="Times New Roman"/>
          <w:b/>
          <w:sz w:val="24"/>
          <w:szCs w:val="24"/>
          <w:lang w:val="en-US"/>
        </w:rPr>
        <w:t>Model results for number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 The dashed line represents 1700 dead gulls.</w:t>
      </w:r>
    </w:p>
    <w:p w:rsidR="00F1469B" w:rsidRDefault="00F1469B" w:rsidP="00D52406">
      <w:pPr>
        <w:jc w:val="center"/>
        <w:rPr>
          <w:rFonts w:cs="Times New Roman"/>
          <w:b/>
          <w:sz w:val="24"/>
          <w:szCs w:val="24"/>
          <w:lang w:val="en-US"/>
        </w:rPr>
      </w:pPr>
    </w:p>
    <w:p w:rsidR="00EA7243" w:rsidRDefault="00EA7243" w:rsidP="00EA7243">
      <w:pPr>
        <w:rPr>
          <w:rFonts w:cs="Times New Roman"/>
          <w:sz w:val="24"/>
          <w:szCs w:val="24"/>
          <w:lang w:val="en-US"/>
        </w:rPr>
      </w:pPr>
      <w:r>
        <w:rPr>
          <w:rFonts w:cs="Times New Roman"/>
          <w:sz w:val="24"/>
          <w:szCs w:val="24"/>
          <w:lang w:val="en-US"/>
        </w:rPr>
        <w:t xml:space="preserve">The </w:t>
      </w:r>
      <w:r w:rsidR="00FE2215">
        <w:rPr>
          <w:rFonts w:cs="Times New Roman"/>
          <w:sz w:val="24"/>
          <w:szCs w:val="24"/>
          <w:lang w:val="en-US"/>
        </w:rPr>
        <w:t>worst case</w:t>
      </w:r>
      <w:r>
        <w:rPr>
          <w:rFonts w:cs="Times New Roman"/>
          <w:sz w:val="24"/>
          <w:szCs w:val="24"/>
          <w:lang w:val="en-US"/>
        </w:rPr>
        <w:t xml:space="preserve"> scenario of 117 days elapsing until the first significant rainfall event is likely unrealistic for </w:t>
      </w:r>
      <w:r w:rsidR="00BE7C91">
        <w:rPr>
          <w:rFonts w:cs="Times New Roman"/>
          <w:sz w:val="24"/>
          <w:szCs w:val="24"/>
          <w:lang w:val="en-US"/>
        </w:rPr>
        <w:t>SFI</w:t>
      </w:r>
      <w:r>
        <w:rPr>
          <w:rFonts w:cs="Times New Roman"/>
          <w:sz w:val="24"/>
          <w:szCs w:val="24"/>
          <w:lang w:val="en-US"/>
        </w:rPr>
        <w:t>. The value was derived using November-December rainfall data from 1972-2010. Most of the Farallones annual rain falls in January and February, however, which would mean that the likelihood of going 117 days (or nearly 4 months) without a significant rainfall event from the time of the final brodifacoum application in November or December would be extremely low. Thus, the model predictions for 4 or 28 days to the first significant rainfall event after the final brodifacoum application are likely to be closer to reality.</w:t>
      </w:r>
    </w:p>
    <w:p w:rsidR="001A513E" w:rsidRPr="00354291" w:rsidRDefault="00F632FF">
      <w:pPr>
        <w:pStyle w:val="Heading3"/>
        <w:rPr>
          <w:i w:val="0"/>
        </w:rPr>
      </w:pPr>
      <w:bookmarkStart w:id="40" w:name="_Toc336445309"/>
      <w:bookmarkStart w:id="41" w:name="_Toc343007940"/>
      <w:bookmarkEnd w:id="40"/>
      <w:r w:rsidRPr="00F632FF">
        <w:t>Number of Applications</w:t>
      </w:r>
      <w:bookmarkEnd w:id="41"/>
    </w:p>
    <w:p w:rsidR="00D52406" w:rsidRPr="00EF3DA3" w:rsidRDefault="0055565E" w:rsidP="00D52406">
      <w:pPr>
        <w:rPr>
          <w:rFonts w:cs="Times New Roman"/>
          <w:sz w:val="24"/>
          <w:szCs w:val="24"/>
          <w:lang w:val="en-US"/>
        </w:rPr>
      </w:pPr>
      <w:r>
        <w:rPr>
          <w:rFonts w:cs="Times New Roman"/>
          <w:sz w:val="24"/>
          <w:szCs w:val="24"/>
          <w:lang w:val="en-US"/>
        </w:rPr>
        <w:t xml:space="preserve">Although </w:t>
      </w:r>
      <w:r w:rsidR="008E5CAB">
        <w:rPr>
          <w:rFonts w:cs="Times New Roman"/>
          <w:sz w:val="24"/>
          <w:szCs w:val="24"/>
          <w:lang w:val="en-US"/>
        </w:rPr>
        <w:t xml:space="preserve">standard practice, and </w:t>
      </w:r>
      <w:r>
        <w:rPr>
          <w:rFonts w:cs="Times New Roman"/>
          <w:sz w:val="24"/>
          <w:szCs w:val="24"/>
          <w:lang w:val="en-US"/>
        </w:rPr>
        <w:t>not a</w:t>
      </w:r>
      <w:r w:rsidR="00276302">
        <w:rPr>
          <w:rFonts w:cs="Times New Roman"/>
          <w:sz w:val="24"/>
          <w:szCs w:val="24"/>
          <w:lang w:val="en-US"/>
        </w:rPr>
        <w:t xml:space="preserve"> likely</w:t>
      </w:r>
      <w:r>
        <w:rPr>
          <w:rFonts w:cs="Times New Roman"/>
          <w:sz w:val="24"/>
          <w:szCs w:val="24"/>
          <w:lang w:val="en-US"/>
        </w:rPr>
        <w:t xml:space="preserve"> option for </w:t>
      </w:r>
      <w:r w:rsidR="00BE7C91">
        <w:rPr>
          <w:rFonts w:cs="Times New Roman"/>
          <w:sz w:val="24"/>
          <w:szCs w:val="24"/>
          <w:lang w:val="en-US"/>
        </w:rPr>
        <w:t>SFI</w:t>
      </w:r>
      <w:r>
        <w:rPr>
          <w:rFonts w:cs="Times New Roman"/>
          <w:sz w:val="24"/>
          <w:szCs w:val="24"/>
          <w:lang w:val="en-US"/>
        </w:rPr>
        <w:t xml:space="preserve">, it is clear that reducing the number of brodifacoum applications to </w:t>
      </w:r>
      <w:r w:rsidR="00761003">
        <w:rPr>
          <w:rFonts w:cs="Times New Roman"/>
          <w:sz w:val="24"/>
          <w:szCs w:val="24"/>
          <w:lang w:val="en-US"/>
        </w:rPr>
        <w:t>a single</w:t>
      </w:r>
      <w:r>
        <w:rPr>
          <w:rFonts w:cs="Times New Roman"/>
          <w:sz w:val="24"/>
          <w:szCs w:val="24"/>
          <w:lang w:val="en-US"/>
        </w:rPr>
        <w:t xml:space="preserve"> application significantly reduces expected gull mortality (Figures 5-9 and 5-10)</w:t>
      </w:r>
      <w:r w:rsidR="00D52406">
        <w:rPr>
          <w:rFonts w:cs="Times New Roman"/>
          <w:sz w:val="24"/>
          <w:szCs w:val="24"/>
          <w:lang w:val="en-US"/>
        </w:rPr>
        <w:t xml:space="preserve">. The results </w:t>
      </w:r>
      <w:r>
        <w:rPr>
          <w:rFonts w:cs="Times New Roman"/>
          <w:sz w:val="24"/>
          <w:szCs w:val="24"/>
          <w:lang w:val="en-US"/>
        </w:rPr>
        <w:t>shown in Figure 5-9 and 5-10 assumed</w:t>
      </w:r>
      <w:r w:rsidR="00D52406">
        <w:rPr>
          <w:rFonts w:cs="Times New Roman"/>
          <w:sz w:val="24"/>
          <w:szCs w:val="24"/>
          <w:lang w:val="en-US"/>
        </w:rPr>
        <w:t xml:space="preserve"> an initial application date of November 29</w:t>
      </w:r>
      <w:r w:rsidR="00D52406" w:rsidRPr="00EF3DA3">
        <w:rPr>
          <w:rFonts w:cs="Times New Roman"/>
          <w:sz w:val="24"/>
          <w:szCs w:val="24"/>
          <w:vertAlign w:val="superscript"/>
          <w:lang w:val="en-US"/>
        </w:rPr>
        <w:t>th</w:t>
      </w:r>
      <w:r w:rsidR="00D52406">
        <w:rPr>
          <w:rFonts w:cs="Times New Roman"/>
          <w:sz w:val="24"/>
          <w:szCs w:val="24"/>
          <w:lang w:val="en-US"/>
        </w:rPr>
        <w:t xml:space="preserve">, </w:t>
      </w:r>
      <w:r w:rsidR="00967C4A">
        <w:rPr>
          <w:rFonts w:cs="Times New Roman"/>
          <w:sz w:val="24"/>
          <w:szCs w:val="24"/>
          <w:lang w:val="en-US"/>
        </w:rPr>
        <w:t>90</w:t>
      </w:r>
      <w:r w:rsidR="00D52406">
        <w:rPr>
          <w:rFonts w:cs="Times New Roman"/>
          <w:sz w:val="24"/>
          <w:szCs w:val="24"/>
          <w:lang w:val="en-US"/>
        </w:rPr>
        <w:t xml:space="preserve">% hazing effectiveness, </w:t>
      </w:r>
      <w:r>
        <w:rPr>
          <w:rFonts w:cs="Times New Roman"/>
          <w:sz w:val="24"/>
          <w:szCs w:val="24"/>
          <w:lang w:val="en-US"/>
        </w:rPr>
        <w:t xml:space="preserve">and </w:t>
      </w:r>
      <w:r w:rsidR="00D52406">
        <w:rPr>
          <w:rFonts w:cs="Times New Roman"/>
          <w:sz w:val="24"/>
          <w:szCs w:val="24"/>
          <w:lang w:val="en-US"/>
        </w:rPr>
        <w:t xml:space="preserve">28 days until the first </w:t>
      </w:r>
      <w:r>
        <w:rPr>
          <w:rFonts w:cs="Times New Roman"/>
          <w:sz w:val="24"/>
          <w:szCs w:val="24"/>
          <w:lang w:val="en-US"/>
        </w:rPr>
        <w:t xml:space="preserve">significant </w:t>
      </w:r>
      <w:r w:rsidR="00D52406">
        <w:rPr>
          <w:rFonts w:cs="Times New Roman"/>
          <w:sz w:val="24"/>
          <w:szCs w:val="24"/>
          <w:lang w:val="en-US"/>
        </w:rPr>
        <w:t>rainfall</w:t>
      </w:r>
      <w:r>
        <w:rPr>
          <w:rFonts w:cs="Times New Roman"/>
          <w:sz w:val="24"/>
          <w:szCs w:val="24"/>
          <w:lang w:val="en-US"/>
        </w:rPr>
        <w:t xml:space="preserve"> for the scenario involving two applications (see Table 3-1 for other inputs)</w:t>
      </w:r>
      <w:r w:rsidR="00D52406">
        <w:rPr>
          <w:rFonts w:cs="Times New Roman"/>
          <w:sz w:val="24"/>
          <w:szCs w:val="24"/>
          <w:lang w:val="en-US"/>
        </w:rPr>
        <w:t xml:space="preserve">. Over 5 times more gulls died when two applications </w:t>
      </w:r>
      <w:r>
        <w:rPr>
          <w:rFonts w:cs="Times New Roman"/>
          <w:sz w:val="24"/>
          <w:szCs w:val="24"/>
          <w:lang w:val="en-US"/>
        </w:rPr>
        <w:t>took place</w:t>
      </w:r>
      <w:r w:rsidR="00D52406">
        <w:rPr>
          <w:rFonts w:cs="Times New Roman"/>
          <w:sz w:val="24"/>
          <w:szCs w:val="24"/>
          <w:lang w:val="en-US"/>
        </w:rPr>
        <w:t>.</w:t>
      </w:r>
      <w:r w:rsidR="00761003">
        <w:rPr>
          <w:rFonts w:cs="Times New Roman"/>
          <w:sz w:val="24"/>
          <w:szCs w:val="24"/>
          <w:lang w:val="en-US"/>
        </w:rPr>
        <w:t xml:space="preserve"> </w:t>
      </w:r>
      <w:r w:rsidR="008E5CAB">
        <w:rPr>
          <w:rFonts w:cs="Times New Roman"/>
          <w:sz w:val="24"/>
          <w:szCs w:val="24"/>
          <w:lang w:val="en-US"/>
        </w:rPr>
        <w:t>Applying only one application, would not be best practice, and would likely compromise the effectiveness of the mouse eradication, which requires 100% lethal exposure to all mice.</w:t>
      </w:r>
    </w:p>
    <w:p w:rsidR="00D52406" w:rsidRDefault="00F75E9A" w:rsidP="00D52406">
      <w:pPr>
        <w:jc w:val="center"/>
        <w:rPr>
          <w:rFonts w:cs="Times New Roman"/>
          <w:b/>
          <w:sz w:val="24"/>
          <w:szCs w:val="24"/>
          <w:lang w:val="en-US"/>
        </w:rPr>
      </w:pPr>
      <w:r w:rsidRPr="00F75E9A">
        <w:rPr>
          <w:rFonts w:cs="Times New Roman"/>
          <w:b/>
          <w:noProof/>
          <w:sz w:val="24"/>
          <w:szCs w:val="24"/>
          <w:lang w:val="en-US"/>
        </w:rPr>
        <w:drawing>
          <wp:inline distT="0" distB="0" distL="0" distR="0" wp14:anchorId="593ED1FC" wp14:editId="5A0AA330">
            <wp:extent cx="4572000" cy="2743200"/>
            <wp:effectExtent l="0" t="0" r="0" b="0"/>
            <wp:docPr id="1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5-9</w:t>
      </w:r>
      <w:r>
        <w:rPr>
          <w:rFonts w:cs="Times New Roman"/>
          <w:b/>
          <w:sz w:val="24"/>
          <w:szCs w:val="24"/>
          <w:lang w:val="en-US"/>
        </w:rPr>
        <w:t xml:space="preserve">. </w:t>
      </w:r>
      <w:r w:rsidR="0055565E">
        <w:rPr>
          <w:rFonts w:cs="Times New Roman"/>
          <w:b/>
          <w:sz w:val="24"/>
          <w:szCs w:val="24"/>
          <w:lang w:val="en-US"/>
        </w:rPr>
        <w:t>Model results for proportion of dead gulls as a function of number of applications</w:t>
      </w:r>
      <w:r w:rsidR="00D83554">
        <w:rPr>
          <w:rFonts w:cs="Times New Roman"/>
          <w:b/>
          <w:sz w:val="24"/>
          <w:szCs w:val="24"/>
          <w:lang w:val="en-US"/>
        </w:rPr>
        <w:t xml:space="preserve"> of brodifacoum</w:t>
      </w:r>
      <w:r w:rsidR="00D83554" w:rsidRPr="00D83554">
        <w:rPr>
          <w:rFonts w:cs="Times New Roman"/>
          <w:b/>
          <w:sz w:val="24"/>
          <w:szCs w:val="24"/>
          <w:lang w:val="en-US"/>
        </w:rPr>
        <w:t xml:space="preserve">, </w:t>
      </w:r>
      <w:r w:rsidR="00AC0BF7" w:rsidRPr="00767A21">
        <w:rPr>
          <w:rFonts w:cs="Times New Roman"/>
          <w:b/>
          <w:sz w:val="24"/>
          <w:szCs w:val="24"/>
          <w:lang w:val="en-US"/>
        </w:rPr>
        <w:t>assuming an initial application date of November 29</w:t>
      </w:r>
      <w:r w:rsidR="00AC0BF7" w:rsidRPr="00767A21">
        <w:rPr>
          <w:rFonts w:cs="Times New Roman"/>
          <w:b/>
          <w:sz w:val="24"/>
          <w:szCs w:val="24"/>
          <w:vertAlign w:val="superscript"/>
          <w:lang w:val="en-US"/>
        </w:rPr>
        <w:t>th</w:t>
      </w:r>
      <w:r w:rsidR="00AC0BF7" w:rsidRPr="00767A21">
        <w:rPr>
          <w:rFonts w:cs="Times New Roman"/>
          <w:b/>
          <w:sz w:val="24"/>
          <w:szCs w:val="24"/>
          <w:lang w:val="en-US"/>
        </w:rPr>
        <w:t xml:space="preserve">, </w:t>
      </w:r>
      <w:r w:rsidR="00F75E9A">
        <w:rPr>
          <w:rFonts w:cs="Times New Roman"/>
          <w:b/>
          <w:sz w:val="24"/>
          <w:szCs w:val="24"/>
          <w:lang w:val="en-US"/>
        </w:rPr>
        <w:t>9</w:t>
      </w:r>
      <w:r w:rsidR="00F75E9A" w:rsidRPr="00767A21">
        <w:rPr>
          <w:rFonts w:cs="Times New Roman"/>
          <w:b/>
          <w:sz w:val="24"/>
          <w:szCs w:val="24"/>
          <w:lang w:val="en-US"/>
        </w:rPr>
        <w:t>0</w:t>
      </w:r>
      <w:r w:rsidR="00AC0BF7" w:rsidRPr="00767A21">
        <w:rPr>
          <w:rFonts w:cs="Times New Roman"/>
          <w:b/>
          <w:sz w:val="24"/>
          <w:szCs w:val="24"/>
          <w:lang w:val="en-US"/>
        </w:rPr>
        <w:t>% hazing effectiveness, and 28 days until the first significant rainfall</w:t>
      </w:r>
      <w:r>
        <w:rPr>
          <w:rFonts w:cs="Times New Roman"/>
          <w:b/>
          <w:sz w:val="24"/>
          <w:szCs w:val="24"/>
          <w:lang w:val="en-US"/>
        </w:rPr>
        <w:t>.</w:t>
      </w:r>
      <w:r w:rsidR="00F75E9A">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D52406" w:rsidRDefault="00F75E9A" w:rsidP="00D52406">
      <w:pPr>
        <w:jc w:val="center"/>
        <w:rPr>
          <w:rFonts w:cs="Times New Roman"/>
          <w:b/>
          <w:sz w:val="24"/>
          <w:szCs w:val="24"/>
          <w:lang w:val="en-US"/>
        </w:rPr>
      </w:pPr>
      <w:r w:rsidRPr="00F75E9A">
        <w:rPr>
          <w:rFonts w:cs="Times New Roman"/>
          <w:b/>
          <w:noProof/>
          <w:sz w:val="24"/>
          <w:szCs w:val="24"/>
          <w:lang w:val="en-US"/>
        </w:rPr>
        <w:drawing>
          <wp:inline distT="0" distB="0" distL="0" distR="0" wp14:anchorId="65233ED4" wp14:editId="142E356B">
            <wp:extent cx="4572000" cy="2743200"/>
            <wp:effectExtent l="0" t="0" r="0" b="0"/>
            <wp:docPr id="2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5-10</w:t>
      </w:r>
      <w:r>
        <w:rPr>
          <w:rFonts w:cs="Times New Roman"/>
          <w:b/>
          <w:sz w:val="24"/>
          <w:szCs w:val="24"/>
          <w:lang w:val="en-US"/>
        </w:rPr>
        <w:t xml:space="preserve">. </w:t>
      </w:r>
      <w:r w:rsidR="00F1469B">
        <w:rPr>
          <w:rFonts w:cs="Times New Roman"/>
          <w:b/>
          <w:sz w:val="24"/>
          <w:szCs w:val="24"/>
          <w:lang w:val="en-US"/>
        </w:rPr>
        <w:t>Model results for number of dead gulls as a function of number of applications</w:t>
      </w:r>
      <w:r w:rsidR="00D83554" w:rsidRPr="00D83554">
        <w:rPr>
          <w:rFonts w:cs="Times New Roman"/>
          <w:b/>
          <w:sz w:val="24"/>
          <w:szCs w:val="24"/>
          <w:lang w:val="en-US"/>
        </w:rPr>
        <w:t xml:space="preserve"> </w:t>
      </w:r>
      <w:r w:rsidR="00D83554">
        <w:rPr>
          <w:rFonts w:cs="Times New Roman"/>
          <w:b/>
          <w:sz w:val="24"/>
          <w:szCs w:val="24"/>
          <w:lang w:val="en-US"/>
        </w:rPr>
        <w:t>of brodifacoum</w:t>
      </w:r>
      <w:r w:rsidR="00D83554" w:rsidRPr="00D83554">
        <w:rPr>
          <w:rFonts w:cs="Times New Roman"/>
          <w:b/>
          <w:sz w:val="24"/>
          <w:szCs w:val="24"/>
          <w:lang w:val="en-US"/>
        </w:rPr>
        <w:t xml:space="preserve">, </w:t>
      </w:r>
      <w:r w:rsidR="00D83554" w:rsidRPr="007552C3">
        <w:rPr>
          <w:rFonts w:cs="Times New Roman"/>
          <w:b/>
          <w:sz w:val="24"/>
          <w:szCs w:val="24"/>
          <w:lang w:val="en-US"/>
        </w:rPr>
        <w:t>assuming an initial application date of November 29</w:t>
      </w:r>
      <w:r w:rsidR="00D83554" w:rsidRPr="007552C3">
        <w:rPr>
          <w:rFonts w:cs="Times New Roman"/>
          <w:b/>
          <w:sz w:val="24"/>
          <w:szCs w:val="24"/>
          <w:vertAlign w:val="superscript"/>
          <w:lang w:val="en-US"/>
        </w:rPr>
        <w:t>th</w:t>
      </w:r>
      <w:r w:rsidR="00D83554" w:rsidRPr="007552C3">
        <w:rPr>
          <w:rFonts w:cs="Times New Roman"/>
          <w:b/>
          <w:sz w:val="24"/>
          <w:szCs w:val="24"/>
          <w:lang w:val="en-US"/>
        </w:rPr>
        <w:t xml:space="preserve">, </w:t>
      </w:r>
      <w:r w:rsidR="00F75E9A">
        <w:rPr>
          <w:rFonts w:cs="Times New Roman"/>
          <w:b/>
          <w:sz w:val="24"/>
          <w:szCs w:val="24"/>
          <w:lang w:val="en-US"/>
        </w:rPr>
        <w:t>9</w:t>
      </w:r>
      <w:r w:rsidR="00F75E9A" w:rsidRPr="007552C3">
        <w:rPr>
          <w:rFonts w:cs="Times New Roman"/>
          <w:b/>
          <w:sz w:val="24"/>
          <w:szCs w:val="24"/>
          <w:lang w:val="en-US"/>
        </w:rPr>
        <w:t>0</w:t>
      </w:r>
      <w:r w:rsidR="00D83554" w:rsidRPr="007552C3">
        <w:rPr>
          <w:rFonts w:cs="Times New Roman"/>
          <w:b/>
          <w:sz w:val="24"/>
          <w:szCs w:val="24"/>
          <w:lang w:val="en-US"/>
        </w:rPr>
        <w:t>% hazing effectiveness, and 28 days until the first significant rainfall</w:t>
      </w:r>
      <w:r>
        <w:rPr>
          <w:rFonts w:cs="Times New Roman"/>
          <w:b/>
          <w:sz w:val="24"/>
          <w:szCs w:val="24"/>
          <w:lang w:val="en-US"/>
        </w:rPr>
        <w:t xml:space="preserve">. </w:t>
      </w:r>
      <w:r w:rsidR="00F75E9A">
        <w:rPr>
          <w:rFonts w:cs="Times New Roman"/>
          <w:b/>
          <w:sz w:val="24"/>
          <w:szCs w:val="24"/>
          <w:lang w:val="en-US"/>
        </w:rPr>
        <w:t xml:space="preserve">All other input values are listed in Table 3-1. </w:t>
      </w:r>
      <w:r>
        <w:rPr>
          <w:rFonts w:cs="Times New Roman"/>
          <w:b/>
          <w:sz w:val="24"/>
          <w:szCs w:val="24"/>
          <w:lang w:val="en-US"/>
        </w:rPr>
        <w:t>The dashed line represents 1700 dead gulls.</w:t>
      </w:r>
    </w:p>
    <w:p w:rsidR="00C43114" w:rsidRDefault="0074082F">
      <w:pPr>
        <w:pStyle w:val="Heading3"/>
      </w:pPr>
      <w:bookmarkStart w:id="42" w:name="_Toc343007941"/>
      <w:r>
        <w:t xml:space="preserve">Removal of </w:t>
      </w:r>
      <w:r w:rsidR="00D52406">
        <w:t>Dead Mice</w:t>
      </w:r>
      <w:bookmarkEnd w:id="42"/>
    </w:p>
    <w:p w:rsidR="00D52406" w:rsidRPr="00634472" w:rsidRDefault="00840312" w:rsidP="00D52406">
      <w:pPr>
        <w:rPr>
          <w:rFonts w:cs="Times New Roman"/>
          <w:sz w:val="24"/>
          <w:szCs w:val="24"/>
          <w:lang w:val="en-US"/>
        </w:rPr>
      </w:pPr>
      <w:r>
        <w:rPr>
          <w:rFonts w:cs="Times New Roman"/>
          <w:sz w:val="24"/>
          <w:szCs w:val="24"/>
          <w:lang w:val="en-US"/>
        </w:rPr>
        <w:t>One possible management option to reduce mortality of western gulls is to remove dead mouse carcasses as they are discovered. Assuming</w:t>
      </w:r>
      <w:r w:rsidR="00D52406">
        <w:rPr>
          <w:rFonts w:cs="Times New Roman"/>
          <w:sz w:val="24"/>
          <w:szCs w:val="24"/>
          <w:lang w:val="en-US"/>
        </w:rPr>
        <w:t xml:space="preserve"> an initial application date of November 29</w:t>
      </w:r>
      <w:r w:rsidR="00D52406" w:rsidRPr="00634472">
        <w:rPr>
          <w:rFonts w:cs="Times New Roman"/>
          <w:sz w:val="24"/>
          <w:szCs w:val="24"/>
          <w:vertAlign w:val="superscript"/>
          <w:lang w:val="en-US"/>
        </w:rPr>
        <w:t>th</w:t>
      </w:r>
      <w:r w:rsidR="00D52406">
        <w:rPr>
          <w:rFonts w:cs="Times New Roman"/>
          <w:sz w:val="24"/>
          <w:szCs w:val="24"/>
          <w:lang w:val="en-US"/>
        </w:rPr>
        <w:t xml:space="preserve">, </w:t>
      </w:r>
      <w:r w:rsidR="00F75E9A">
        <w:rPr>
          <w:rFonts w:cs="Times New Roman"/>
          <w:sz w:val="24"/>
          <w:szCs w:val="24"/>
          <w:lang w:val="en-US"/>
        </w:rPr>
        <w:t>90</w:t>
      </w:r>
      <w:r w:rsidR="00D52406">
        <w:rPr>
          <w:rFonts w:cs="Times New Roman"/>
          <w:sz w:val="24"/>
          <w:szCs w:val="24"/>
          <w:lang w:val="en-US"/>
        </w:rPr>
        <w:t xml:space="preserve">% hazing effectiveness, </w:t>
      </w:r>
      <w:r>
        <w:rPr>
          <w:rFonts w:cs="Times New Roman"/>
          <w:sz w:val="24"/>
          <w:szCs w:val="24"/>
          <w:lang w:val="en-US"/>
        </w:rPr>
        <w:t xml:space="preserve">and </w:t>
      </w:r>
      <w:r w:rsidR="00D52406">
        <w:rPr>
          <w:rFonts w:cs="Times New Roman"/>
          <w:sz w:val="24"/>
          <w:szCs w:val="24"/>
          <w:lang w:val="en-US"/>
        </w:rPr>
        <w:t>28 days until the first rainfall</w:t>
      </w:r>
      <w:r w:rsidR="001A513E">
        <w:rPr>
          <w:rFonts w:cs="Times New Roman"/>
          <w:sz w:val="24"/>
          <w:szCs w:val="24"/>
          <w:lang w:val="en-US"/>
        </w:rPr>
        <w:t xml:space="preserve"> (see Table 3-1 for other inputs)</w:t>
      </w:r>
      <w:r w:rsidR="00D52406">
        <w:rPr>
          <w:rFonts w:cs="Times New Roman"/>
          <w:sz w:val="24"/>
          <w:szCs w:val="24"/>
          <w:lang w:val="en-US"/>
        </w:rPr>
        <w:t xml:space="preserve">, </w:t>
      </w:r>
      <w:r>
        <w:rPr>
          <w:rFonts w:cs="Times New Roman"/>
          <w:sz w:val="24"/>
          <w:szCs w:val="24"/>
          <w:lang w:val="en-US"/>
        </w:rPr>
        <w:t>the results indicate</w:t>
      </w:r>
      <w:r w:rsidR="00D52406">
        <w:rPr>
          <w:rFonts w:cs="Times New Roman"/>
          <w:sz w:val="24"/>
          <w:szCs w:val="24"/>
          <w:lang w:val="en-US"/>
        </w:rPr>
        <w:t xml:space="preserve"> no differences in the proportion and </w:t>
      </w:r>
      <w:r>
        <w:rPr>
          <w:rFonts w:cs="Times New Roman"/>
          <w:sz w:val="24"/>
          <w:szCs w:val="24"/>
          <w:lang w:val="en-US"/>
        </w:rPr>
        <w:t xml:space="preserve">number </w:t>
      </w:r>
      <w:r w:rsidR="00D52406">
        <w:rPr>
          <w:rFonts w:cs="Times New Roman"/>
          <w:sz w:val="24"/>
          <w:szCs w:val="24"/>
          <w:lang w:val="en-US"/>
        </w:rPr>
        <w:t xml:space="preserve">of dead gulls </w:t>
      </w:r>
      <w:r>
        <w:rPr>
          <w:rFonts w:cs="Times New Roman"/>
          <w:sz w:val="24"/>
          <w:szCs w:val="24"/>
          <w:lang w:val="en-US"/>
        </w:rPr>
        <w:t>as a result of not removing or removing dead mice (Figures 5-11 and 5-12)</w:t>
      </w:r>
      <w:r w:rsidR="00D52406">
        <w:rPr>
          <w:rFonts w:cs="Times New Roman"/>
          <w:sz w:val="24"/>
          <w:szCs w:val="24"/>
          <w:lang w:val="en-US"/>
        </w:rPr>
        <w:t xml:space="preserve">. </w:t>
      </w:r>
      <w:r w:rsidR="00F5428C">
        <w:rPr>
          <w:rFonts w:cs="Times New Roman"/>
          <w:sz w:val="24"/>
          <w:szCs w:val="24"/>
          <w:lang w:val="en-US"/>
        </w:rPr>
        <w:t>For brodifacoum, it appears that removal of dead mice would accomplish little in terms of reducing mortality of western gulls.</w:t>
      </w:r>
      <w:r w:rsidR="00761003">
        <w:rPr>
          <w:rFonts w:cs="Times New Roman"/>
          <w:sz w:val="24"/>
          <w:szCs w:val="24"/>
          <w:lang w:val="en-US"/>
        </w:rPr>
        <w:t xml:space="preserve"> </w:t>
      </w:r>
    </w:p>
    <w:p w:rsidR="00D52406" w:rsidRDefault="00E50B8E" w:rsidP="00D52406">
      <w:pPr>
        <w:jc w:val="center"/>
        <w:rPr>
          <w:rFonts w:cs="Times New Roman"/>
          <w:b/>
          <w:sz w:val="24"/>
          <w:szCs w:val="24"/>
          <w:lang w:val="en-US"/>
        </w:rPr>
      </w:pPr>
      <w:r w:rsidRPr="00E50B8E">
        <w:rPr>
          <w:rFonts w:cs="Times New Roman"/>
          <w:b/>
          <w:noProof/>
          <w:sz w:val="24"/>
          <w:szCs w:val="24"/>
          <w:lang w:val="en-US"/>
        </w:rPr>
        <w:drawing>
          <wp:inline distT="0" distB="0" distL="0" distR="0" wp14:anchorId="0F8747EB" wp14:editId="53DEBA57">
            <wp:extent cx="4572000" cy="2743200"/>
            <wp:effectExtent l="0" t="0" r="0" b="0"/>
            <wp:docPr id="2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428C">
        <w:rPr>
          <w:rFonts w:cs="Times New Roman"/>
          <w:b/>
          <w:sz w:val="24"/>
          <w:szCs w:val="24"/>
          <w:lang w:val="en-US"/>
        </w:rPr>
        <w:t>5-11</w:t>
      </w:r>
      <w:r>
        <w:rPr>
          <w:rFonts w:cs="Times New Roman"/>
          <w:b/>
          <w:sz w:val="24"/>
          <w:szCs w:val="24"/>
          <w:lang w:val="en-US"/>
        </w:rPr>
        <w:t xml:space="preserve">. </w:t>
      </w:r>
      <w:r w:rsidR="00F5428C">
        <w:rPr>
          <w:rFonts w:cs="Times New Roman"/>
          <w:b/>
          <w:sz w:val="24"/>
          <w:szCs w:val="24"/>
          <w:lang w:val="en-US"/>
        </w:rPr>
        <w:t>Model results for proportion of dead gulls as a function of whether dead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0% hazing effectiveness, and 28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 </w:t>
      </w:r>
      <w:r>
        <w:rPr>
          <w:rFonts w:cs="Times New Roman"/>
          <w:b/>
          <w:sz w:val="24"/>
          <w:szCs w:val="24"/>
          <w:lang w:val="en-US"/>
        </w:rPr>
        <w:t xml:space="preserve"> </w:t>
      </w:r>
    </w:p>
    <w:p w:rsidR="00D52406" w:rsidRDefault="00D52406" w:rsidP="00D52406">
      <w:pPr>
        <w:jc w:val="center"/>
        <w:rPr>
          <w:rFonts w:cs="Times New Roman"/>
          <w:b/>
          <w:sz w:val="24"/>
          <w:szCs w:val="24"/>
          <w:lang w:val="en-US"/>
        </w:rPr>
      </w:pPr>
    </w:p>
    <w:p w:rsidR="00D52406" w:rsidRDefault="00E50B8E" w:rsidP="00D52406">
      <w:pPr>
        <w:jc w:val="center"/>
        <w:rPr>
          <w:rFonts w:cs="Times New Roman"/>
          <w:b/>
          <w:sz w:val="24"/>
          <w:szCs w:val="24"/>
          <w:lang w:val="en-US"/>
        </w:rPr>
      </w:pPr>
      <w:r w:rsidRPr="00E50B8E">
        <w:rPr>
          <w:rFonts w:cs="Times New Roman"/>
          <w:b/>
          <w:noProof/>
          <w:sz w:val="24"/>
          <w:szCs w:val="24"/>
          <w:lang w:val="en-US"/>
        </w:rPr>
        <w:drawing>
          <wp:inline distT="0" distB="0" distL="0" distR="0" wp14:anchorId="229F8FBF" wp14:editId="5E5A5AB1">
            <wp:extent cx="4572000" cy="2743200"/>
            <wp:effectExtent l="0" t="0" r="0" b="0"/>
            <wp:docPr id="24"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33597">
        <w:rPr>
          <w:rFonts w:cs="Times New Roman"/>
          <w:b/>
          <w:sz w:val="24"/>
          <w:szCs w:val="24"/>
          <w:lang w:val="en-US"/>
        </w:rPr>
        <w:t>5-12</w:t>
      </w:r>
      <w:r>
        <w:rPr>
          <w:rFonts w:cs="Times New Roman"/>
          <w:b/>
          <w:sz w:val="24"/>
          <w:szCs w:val="24"/>
          <w:lang w:val="en-US"/>
        </w:rPr>
        <w:t xml:space="preserve">. </w:t>
      </w:r>
      <w:r w:rsidR="00F5428C">
        <w:rPr>
          <w:rFonts w:cs="Times New Roman"/>
          <w:b/>
          <w:sz w:val="24"/>
          <w:szCs w:val="24"/>
          <w:lang w:val="en-US"/>
        </w:rPr>
        <w:t>Model results for number of dead gulls as a function of whether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0% hazing effectiveness, and 28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C43114" w:rsidRDefault="00F33597">
      <w:pPr>
        <w:pStyle w:val="Heading2"/>
      </w:pPr>
      <w:bookmarkStart w:id="43" w:name="_Toc343007942"/>
      <w:r>
        <w:t xml:space="preserve">Model Results for </w:t>
      </w:r>
      <w:r w:rsidR="00D52406">
        <w:t>Diphacinone</w:t>
      </w:r>
      <w:bookmarkEnd w:id="43"/>
    </w:p>
    <w:p w:rsidR="00F33597" w:rsidRDefault="00F33597" w:rsidP="00D52406">
      <w:pPr>
        <w:rPr>
          <w:rFonts w:cs="Times New Roman"/>
          <w:i/>
          <w:sz w:val="24"/>
          <w:szCs w:val="24"/>
          <w:lang w:val="en-US"/>
        </w:rPr>
      </w:pPr>
      <w:r w:rsidRPr="0065013D">
        <w:rPr>
          <w:sz w:val="24"/>
          <w:szCs w:val="24"/>
          <w:lang w:val="en-US"/>
        </w:rPr>
        <w:t xml:space="preserve">The results of all model runs conducted for </w:t>
      </w:r>
      <w:r>
        <w:rPr>
          <w:sz w:val="24"/>
          <w:szCs w:val="24"/>
          <w:lang w:val="en-US"/>
        </w:rPr>
        <w:t>diphacinone</w:t>
      </w:r>
      <w:r w:rsidRPr="0065013D">
        <w:rPr>
          <w:sz w:val="24"/>
          <w:szCs w:val="24"/>
          <w:lang w:val="en-US"/>
        </w:rPr>
        <w:t xml:space="preserve"> can be found in Appendix </w:t>
      </w:r>
      <w:r>
        <w:rPr>
          <w:sz w:val="24"/>
          <w:szCs w:val="24"/>
          <w:lang w:val="en-US"/>
        </w:rPr>
        <w:t>B</w:t>
      </w:r>
      <w:r w:rsidRPr="0065013D">
        <w:rPr>
          <w:sz w:val="24"/>
          <w:szCs w:val="24"/>
          <w:lang w:val="en-US"/>
        </w:rPr>
        <w:t xml:space="preserve">. The following sections summarize the results for each of the major factors considered potentially important in designing an application and risk management strategy for </w:t>
      </w:r>
      <w:r>
        <w:rPr>
          <w:sz w:val="24"/>
          <w:szCs w:val="24"/>
          <w:lang w:val="en-US"/>
        </w:rPr>
        <w:t>diphacinone</w:t>
      </w:r>
      <w:r w:rsidRPr="0065013D">
        <w:rPr>
          <w:sz w:val="24"/>
          <w:szCs w:val="24"/>
          <w:lang w:val="en-US"/>
        </w:rPr>
        <w:t>.</w:t>
      </w:r>
      <w:r w:rsidR="001C5E37">
        <w:rPr>
          <w:sz w:val="24"/>
          <w:szCs w:val="24"/>
          <w:lang w:val="en-US"/>
        </w:rPr>
        <w:t xml:space="preserve"> </w:t>
      </w:r>
      <w:r w:rsidR="00F9048A">
        <w:rPr>
          <w:sz w:val="24"/>
          <w:szCs w:val="24"/>
          <w:lang w:val="en-US"/>
        </w:rPr>
        <w:t>Results are presented as the proportion and number of western gulls present at some point on SFI during the period November 1 to end of March that experience mortality based on various modifications of the input parameters</w:t>
      </w:r>
      <w:r w:rsidR="00D47FB7">
        <w:rPr>
          <w:sz w:val="24"/>
          <w:szCs w:val="24"/>
          <w:lang w:val="en-US"/>
        </w:rPr>
        <w:t>. The text and figures below provide examples from the various possible scenarios.</w:t>
      </w:r>
    </w:p>
    <w:p w:rsidR="00C43114" w:rsidRDefault="00F33597">
      <w:pPr>
        <w:pStyle w:val="Heading3"/>
      </w:pPr>
      <w:bookmarkStart w:id="44" w:name="_Toc343007943"/>
      <w:r>
        <w:t xml:space="preserve">Initial </w:t>
      </w:r>
      <w:r w:rsidR="00D52406">
        <w:t>Application Date</w:t>
      </w:r>
      <w:bookmarkEnd w:id="44"/>
    </w:p>
    <w:p w:rsidR="00D52406" w:rsidRPr="00634472" w:rsidRDefault="00D52406" w:rsidP="00D52406">
      <w:pPr>
        <w:rPr>
          <w:rFonts w:cs="Times New Roman"/>
          <w:sz w:val="24"/>
          <w:szCs w:val="24"/>
          <w:lang w:val="en-US"/>
        </w:rPr>
      </w:pPr>
      <w:r>
        <w:rPr>
          <w:rFonts w:cs="Times New Roman"/>
          <w:sz w:val="24"/>
          <w:szCs w:val="24"/>
          <w:lang w:val="en-US"/>
        </w:rPr>
        <w:t xml:space="preserve">Possible application dates for diphacinone were </w:t>
      </w:r>
      <w:r w:rsidR="001A513E">
        <w:rPr>
          <w:rFonts w:cs="Times New Roman"/>
          <w:sz w:val="24"/>
          <w:szCs w:val="24"/>
          <w:lang w:val="en-US"/>
        </w:rPr>
        <w:t xml:space="preserve">modeled </w:t>
      </w:r>
      <w:r>
        <w:rPr>
          <w:rFonts w:cs="Times New Roman"/>
          <w:sz w:val="24"/>
          <w:szCs w:val="24"/>
          <w:lang w:val="en-US"/>
        </w:rPr>
        <w:t xml:space="preserve">to determine if </w:t>
      </w:r>
      <w:r w:rsidR="00190C69">
        <w:rPr>
          <w:rFonts w:cs="Times New Roman"/>
          <w:sz w:val="24"/>
          <w:szCs w:val="24"/>
          <w:lang w:val="en-US"/>
        </w:rPr>
        <w:t xml:space="preserve">the </w:t>
      </w:r>
      <w:r w:rsidR="001A513E">
        <w:rPr>
          <w:rFonts w:cs="Times New Roman"/>
          <w:sz w:val="24"/>
          <w:szCs w:val="24"/>
          <w:lang w:val="en-US"/>
        </w:rPr>
        <w:t>initial application date</w:t>
      </w:r>
      <w:r>
        <w:rPr>
          <w:rFonts w:cs="Times New Roman"/>
          <w:sz w:val="24"/>
          <w:szCs w:val="24"/>
          <w:lang w:val="en-US"/>
        </w:rPr>
        <w:t xml:space="preserve"> impact</w:t>
      </w:r>
      <w:r w:rsidR="001A513E">
        <w:rPr>
          <w:rFonts w:cs="Times New Roman"/>
          <w:sz w:val="24"/>
          <w:szCs w:val="24"/>
          <w:lang w:val="en-US"/>
        </w:rPr>
        <w:t>ed</w:t>
      </w:r>
      <w:r>
        <w:rPr>
          <w:rFonts w:cs="Times New Roman"/>
          <w:sz w:val="24"/>
          <w:szCs w:val="24"/>
          <w:lang w:val="en-US"/>
        </w:rPr>
        <w:t xml:space="preserve"> the proportion (Figure </w:t>
      </w:r>
      <w:r w:rsidR="001A513E">
        <w:rPr>
          <w:rFonts w:cs="Times New Roman"/>
          <w:sz w:val="24"/>
          <w:szCs w:val="24"/>
          <w:lang w:val="en-US"/>
        </w:rPr>
        <w:t>5-13</w:t>
      </w:r>
      <w:r>
        <w:rPr>
          <w:rFonts w:cs="Times New Roman"/>
          <w:sz w:val="24"/>
          <w:szCs w:val="24"/>
          <w:lang w:val="en-US"/>
        </w:rPr>
        <w:t xml:space="preserve">) and </w:t>
      </w:r>
      <w:r w:rsidR="001A513E">
        <w:rPr>
          <w:rFonts w:cs="Times New Roman"/>
          <w:sz w:val="24"/>
          <w:szCs w:val="24"/>
          <w:lang w:val="en-US"/>
        </w:rPr>
        <w:t xml:space="preserve">number </w:t>
      </w:r>
      <w:r>
        <w:rPr>
          <w:rFonts w:cs="Times New Roman"/>
          <w:sz w:val="24"/>
          <w:szCs w:val="24"/>
          <w:lang w:val="en-US"/>
        </w:rPr>
        <w:t xml:space="preserve">(Figure </w:t>
      </w:r>
      <w:r w:rsidR="001A513E">
        <w:rPr>
          <w:rFonts w:cs="Times New Roman"/>
          <w:sz w:val="24"/>
          <w:szCs w:val="24"/>
          <w:lang w:val="en-US"/>
        </w:rPr>
        <w:t>5-14</w:t>
      </w:r>
      <w:r>
        <w:rPr>
          <w:rFonts w:cs="Times New Roman"/>
          <w:sz w:val="24"/>
          <w:szCs w:val="24"/>
          <w:lang w:val="en-US"/>
        </w:rPr>
        <w:t xml:space="preserve">) of dead gulls. The results presented </w:t>
      </w:r>
      <w:r w:rsidR="001A513E">
        <w:rPr>
          <w:rFonts w:cs="Times New Roman"/>
          <w:sz w:val="24"/>
          <w:szCs w:val="24"/>
          <w:lang w:val="en-US"/>
        </w:rPr>
        <w:t>in Figures 5-13 and 5-14 assumed a</w:t>
      </w:r>
      <w:r>
        <w:rPr>
          <w:rFonts w:cs="Times New Roman"/>
          <w:sz w:val="24"/>
          <w:szCs w:val="24"/>
          <w:lang w:val="en-US"/>
        </w:rPr>
        <w:t xml:space="preserve"> hazing effectiveness </w:t>
      </w:r>
      <w:r w:rsidR="001A513E">
        <w:rPr>
          <w:rFonts w:cs="Times New Roman"/>
          <w:sz w:val="24"/>
          <w:szCs w:val="24"/>
          <w:lang w:val="en-US"/>
        </w:rPr>
        <w:t xml:space="preserve">of </w:t>
      </w:r>
      <w:r>
        <w:rPr>
          <w:rFonts w:cs="Times New Roman"/>
          <w:sz w:val="24"/>
          <w:szCs w:val="24"/>
          <w:lang w:val="en-US"/>
        </w:rPr>
        <w:t>90</w:t>
      </w:r>
      <w:r w:rsidR="001A513E">
        <w:rPr>
          <w:rFonts w:cs="Times New Roman"/>
          <w:sz w:val="24"/>
          <w:szCs w:val="24"/>
          <w:lang w:val="en-US"/>
        </w:rPr>
        <w:t xml:space="preserve">% and that </w:t>
      </w:r>
      <w:r>
        <w:rPr>
          <w:rFonts w:cs="Times New Roman"/>
          <w:sz w:val="24"/>
          <w:szCs w:val="24"/>
          <w:lang w:val="en-US"/>
        </w:rPr>
        <w:t xml:space="preserve">the first rainfall event </w:t>
      </w:r>
      <w:r w:rsidR="001A513E">
        <w:rPr>
          <w:rFonts w:cs="Times New Roman"/>
          <w:sz w:val="24"/>
          <w:szCs w:val="24"/>
          <w:lang w:val="en-US"/>
        </w:rPr>
        <w:t xml:space="preserve">after the second application </w:t>
      </w:r>
      <w:proofErr w:type="gramStart"/>
      <w:r w:rsidR="001A513E">
        <w:rPr>
          <w:rFonts w:cs="Times New Roman"/>
          <w:sz w:val="24"/>
          <w:szCs w:val="24"/>
          <w:lang w:val="en-US"/>
        </w:rPr>
        <w:t>occurred</w:t>
      </w:r>
      <w:proofErr w:type="gramEnd"/>
      <w:r w:rsidR="001A513E">
        <w:rPr>
          <w:rFonts w:cs="Times New Roman"/>
          <w:sz w:val="24"/>
          <w:szCs w:val="24"/>
          <w:lang w:val="en-US"/>
        </w:rPr>
        <w:t xml:space="preserve"> </w:t>
      </w:r>
      <w:r>
        <w:rPr>
          <w:rFonts w:cs="Times New Roman"/>
          <w:sz w:val="24"/>
          <w:szCs w:val="24"/>
          <w:lang w:val="en-US"/>
        </w:rPr>
        <w:t>28 days</w:t>
      </w:r>
      <w:r w:rsidR="001A513E">
        <w:rPr>
          <w:rFonts w:cs="Times New Roman"/>
          <w:sz w:val="24"/>
          <w:szCs w:val="24"/>
          <w:lang w:val="en-US"/>
        </w:rPr>
        <w:t xml:space="preserve"> later (see Table 3-1 for other inputs)</w:t>
      </w:r>
      <w:r>
        <w:rPr>
          <w:rFonts w:cs="Times New Roman"/>
          <w:sz w:val="24"/>
          <w:szCs w:val="24"/>
          <w:lang w:val="en-US"/>
        </w:rPr>
        <w:t xml:space="preserve">. Although the proportion of dead gulls was very low, it did increase </w:t>
      </w:r>
      <w:r w:rsidR="001A513E">
        <w:rPr>
          <w:rFonts w:cs="Times New Roman"/>
          <w:sz w:val="24"/>
          <w:szCs w:val="24"/>
          <w:lang w:val="en-US"/>
        </w:rPr>
        <w:t>with later initial</w:t>
      </w:r>
      <w:r>
        <w:rPr>
          <w:rFonts w:cs="Times New Roman"/>
          <w:sz w:val="24"/>
          <w:szCs w:val="24"/>
          <w:lang w:val="en-US"/>
        </w:rPr>
        <w:t xml:space="preserve"> application date</w:t>
      </w:r>
      <w:r w:rsidR="001A513E">
        <w:rPr>
          <w:rFonts w:cs="Times New Roman"/>
          <w:sz w:val="24"/>
          <w:szCs w:val="24"/>
          <w:lang w:val="en-US"/>
        </w:rPr>
        <w:t>s</w:t>
      </w:r>
      <w:r>
        <w:rPr>
          <w:rFonts w:cs="Times New Roman"/>
          <w:sz w:val="24"/>
          <w:szCs w:val="24"/>
          <w:lang w:val="en-US"/>
        </w:rPr>
        <w:t xml:space="preserve"> </w:t>
      </w:r>
      <w:r w:rsidR="001A513E">
        <w:rPr>
          <w:rFonts w:cs="Times New Roman"/>
          <w:sz w:val="24"/>
          <w:szCs w:val="24"/>
          <w:lang w:val="en-US"/>
        </w:rPr>
        <w:t>until approximately November 22</w:t>
      </w:r>
      <w:r w:rsidR="00F632FF" w:rsidRPr="00F632FF">
        <w:rPr>
          <w:rFonts w:cs="Times New Roman"/>
          <w:sz w:val="24"/>
          <w:szCs w:val="24"/>
          <w:vertAlign w:val="superscript"/>
          <w:lang w:val="en-US"/>
        </w:rPr>
        <w:t>nd</w:t>
      </w:r>
      <w:r w:rsidR="001A513E">
        <w:rPr>
          <w:rFonts w:cs="Times New Roman"/>
          <w:sz w:val="24"/>
          <w:szCs w:val="24"/>
          <w:lang w:val="en-US"/>
        </w:rPr>
        <w:t xml:space="preserve"> </w:t>
      </w:r>
      <w:r>
        <w:rPr>
          <w:rFonts w:cs="Times New Roman"/>
          <w:sz w:val="24"/>
          <w:szCs w:val="24"/>
          <w:lang w:val="en-US"/>
        </w:rPr>
        <w:t xml:space="preserve">(Figure </w:t>
      </w:r>
      <w:r w:rsidR="001A513E">
        <w:rPr>
          <w:rFonts w:cs="Times New Roman"/>
          <w:sz w:val="24"/>
          <w:szCs w:val="24"/>
          <w:lang w:val="en-US"/>
        </w:rPr>
        <w:t>5-13</w:t>
      </w:r>
      <w:r>
        <w:rPr>
          <w:rFonts w:cs="Times New Roman"/>
          <w:sz w:val="24"/>
          <w:szCs w:val="24"/>
          <w:lang w:val="en-US"/>
        </w:rPr>
        <w:t xml:space="preserve">). Likewise, Figure </w:t>
      </w:r>
      <w:r w:rsidR="00C72D08">
        <w:rPr>
          <w:rFonts w:cs="Times New Roman"/>
          <w:sz w:val="24"/>
          <w:szCs w:val="24"/>
          <w:lang w:val="en-US"/>
        </w:rPr>
        <w:t>5</w:t>
      </w:r>
      <w:r>
        <w:rPr>
          <w:rFonts w:cs="Times New Roman"/>
          <w:sz w:val="24"/>
          <w:szCs w:val="24"/>
          <w:lang w:val="en-US"/>
        </w:rPr>
        <w:t>-</w:t>
      </w:r>
      <w:r w:rsidR="00C72D08">
        <w:rPr>
          <w:rFonts w:cs="Times New Roman"/>
          <w:sz w:val="24"/>
          <w:szCs w:val="24"/>
          <w:lang w:val="en-US"/>
        </w:rPr>
        <w:t xml:space="preserve">14 </w:t>
      </w:r>
      <w:r>
        <w:rPr>
          <w:rFonts w:cs="Times New Roman"/>
          <w:sz w:val="24"/>
          <w:szCs w:val="24"/>
          <w:lang w:val="en-US"/>
        </w:rPr>
        <w:t xml:space="preserve">shows that the number of dead gulls increased with </w:t>
      </w:r>
      <w:r w:rsidR="001A513E">
        <w:rPr>
          <w:rFonts w:cs="Times New Roman"/>
          <w:sz w:val="24"/>
          <w:szCs w:val="24"/>
          <w:lang w:val="en-US"/>
        </w:rPr>
        <w:t>later initial application dates</w:t>
      </w:r>
      <w:r>
        <w:rPr>
          <w:rFonts w:cs="Times New Roman"/>
          <w:sz w:val="24"/>
          <w:szCs w:val="24"/>
          <w:lang w:val="en-US"/>
        </w:rPr>
        <w:t xml:space="preserve">, but </w:t>
      </w:r>
      <w:r w:rsidR="001A513E">
        <w:rPr>
          <w:rFonts w:cs="Times New Roman"/>
          <w:sz w:val="24"/>
          <w:szCs w:val="24"/>
          <w:lang w:val="en-US"/>
        </w:rPr>
        <w:t xml:space="preserve">that </w:t>
      </w:r>
      <w:r>
        <w:rPr>
          <w:rFonts w:cs="Times New Roman"/>
          <w:sz w:val="24"/>
          <w:szCs w:val="24"/>
          <w:lang w:val="en-US"/>
        </w:rPr>
        <w:t>the threshold of 1700 dead gulls was never reached.</w:t>
      </w:r>
    </w:p>
    <w:p w:rsidR="00D52406" w:rsidRDefault="001A513E" w:rsidP="00D52406">
      <w:pPr>
        <w:jc w:val="center"/>
        <w:rPr>
          <w:rFonts w:cs="Times New Roman"/>
          <w:sz w:val="24"/>
          <w:szCs w:val="24"/>
          <w:lang w:val="en-US"/>
        </w:rPr>
      </w:pPr>
      <w:r>
        <w:rPr>
          <w:noProof/>
          <w:lang w:val="en-US"/>
        </w:rPr>
        <w:drawing>
          <wp:inline distT="0" distB="0" distL="0" distR="0" wp14:anchorId="6DE79D95" wp14:editId="699545BA">
            <wp:extent cx="5398617" cy="3123590"/>
            <wp:effectExtent l="0" t="0" r="0" b="0"/>
            <wp:docPr id="49"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80C06" w:rsidRDefault="00D52406" w:rsidP="00D52406">
      <w:pPr>
        <w:jc w:val="center"/>
        <w:rPr>
          <w:rFonts w:cs="Times New Roman"/>
          <w:b/>
          <w:sz w:val="24"/>
          <w:szCs w:val="24"/>
          <w:lang w:val="en-US"/>
        </w:rPr>
      </w:pPr>
      <w:r>
        <w:rPr>
          <w:rFonts w:cs="Times New Roman"/>
          <w:b/>
          <w:sz w:val="24"/>
          <w:szCs w:val="24"/>
          <w:lang w:val="en-US"/>
        </w:rPr>
        <w:t xml:space="preserve">Figure </w:t>
      </w:r>
      <w:r w:rsidR="001A513E">
        <w:rPr>
          <w:rFonts w:cs="Times New Roman"/>
          <w:b/>
          <w:sz w:val="24"/>
          <w:szCs w:val="24"/>
          <w:lang w:val="en-US"/>
        </w:rPr>
        <w:t>5-13</w:t>
      </w:r>
      <w:r>
        <w:rPr>
          <w:rFonts w:cs="Times New Roman"/>
          <w:b/>
          <w:sz w:val="24"/>
          <w:szCs w:val="24"/>
          <w:lang w:val="en-US"/>
        </w:rPr>
        <w:t xml:space="preserve">. </w:t>
      </w:r>
      <w:r w:rsidR="001A513E">
        <w:rPr>
          <w:rFonts w:cs="Times New Roman"/>
          <w:b/>
          <w:sz w:val="24"/>
          <w:szCs w:val="24"/>
          <w:lang w:val="en-US"/>
        </w:rPr>
        <w:t>Model results for proportion of dead gulls as a result of varying initial application date for diphacinone</w:t>
      </w:r>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0% hazing effectiveness, and 28 days until the first significant rainfall</w:t>
      </w:r>
      <w:r w:rsidR="001A513E">
        <w:rPr>
          <w:rFonts w:cs="Times New Roman"/>
          <w:b/>
          <w:sz w:val="24"/>
          <w:szCs w:val="24"/>
          <w:lang w:val="en-US"/>
        </w:rPr>
        <w:t>.</w:t>
      </w:r>
      <w:r w:rsidR="00C72D08">
        <w:rPr>
          <w:rFonts w:cs="Times New Roman"/>
          <w:b/>
          <w:sz w:val="24"/>
          <w:szCs w:val="24"/>
          <w:lang w:val="en-US"/>
        </w:rPr>
        <w:t xml:space="preserve"> All other input values are listed in Table 3-1.</w:t>
      </w:r>
    </w:p>
    <w:p w:rsidR="00780C06" w:rsidRDefault="00780C06">
      <w:pPr>
        <w:rPr>
          <w:rFonts w:cs="Times New Roman"/>
          <w:b/>
          <w:sz w:val="24"/>
          <w:szCs w:val="24"/>
          <w:lang w:val="en-US"/>
        </w:rPr>
      </w:pPr>
      <w:r>
        <w:rPr>
          <w:rFonts w:cs="Times New Roman"/>
          <w:b/>
          <w:sz w:val="24"/>
          <w:szCs w:val="24"/>
          <w:lang w:val="en-US"/>
        </w:rPr>
        <w:br w:type="page"/>
      </w:r>
    </w:p>
    <w:p w:rsidR="00D52406" w:rsidRDefault="001A513E" w:rsidP="00D52406">
      <w:pPr>
        <w:jc w:val="center"/>
        <w:rPr>
          <w:rFonts w:cs="Times New Roman"/>
          <w:b/>
          <w:sz w:val="24"/>
          <w:szCs w:val="24"/>
          <w:lang w:val="en-US"/>
        </w:rPr>
      </w:pPr>
      <w:r>
        <w:rPr>
          <w:noProof/>
          <w:lang w:val="en-US"/>
        </w:rPr>
        <w:drawing>
          <wp:inline distT="0" distB="0" distL="0" distR="0" wp14:anchorId="1EA0E04A" wp14:editId="1CC94A0E">
            <wp:extent cx="5398617" cy="3108960"/>
            <wp:effectExtent l="0" t="0" r="0" b="0"/>
            <wp:docPr id="50"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3F95">
        <w:rPr>
          <w:rFonts w:cs="Times New Roman"/>
          <w:b/>
          <w:sz w:val="24"/>
          <w:szCs w:val="24"/>
          <w:lang w:val="en-US"/>
        </w:rPr>
        <w:t>5-14</w:t>
      </w:r>
      <w:r>
        <w:rPr>
          <w:rFonts w:cs="Times New Roman"/>
          <w:b/>
          <w:sz w:val="24"/>
          <w:szCs w:val="24"/>
          <w:lang w:val="en-US"/>
        </w:rPr>
        <w:t xml:space="preserve">. </w:t>
      </w:r>
      <w:r w:rsidR="001A513E">
        <w:rPr>
          <w:rFonts w:cs="Times New Roman"/>
          <w:b/>
          <w:sz w:val="24"/>
          <w:szCs w:val="24"/>
          <w:lang w:val="en-US"/>
        </w:rPr>
        <w:t>Model results for number of dead gulls as a result of varying initial application date for diphacinone</w:t>
      </w:r>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0% hazing effectiveness, and 28 days until the first significant rainfall</w:t>
      </w:r>
      <w:r w:rsidR="00C72D08">
        <w:rPr>
          <w:rFonts w:cs="Times New Roman"/>
          <w:b/>
          <w:sz w:val="24"/>
          <w:szCs w:val="24"/>
          <w:lang w:val="en-US"/>
        </w:rPr>
        <w:t>. All other input values are listed in Table 3-1</w:t>
      </w:r>
      <w:r w:rsidR="001A513E">
        <w:rPr>
          <w:rFonts w:cs="Times New Roman"/>
          <w:b/>
          <w:sz w:val="24"/>
          <w:szCs w:val="24"/>
          <w:lang w:val="en-US"/>
        </w:rPr>
        <w:t>.</w:t>
      </w:r>
      <w:r>
        <w:rPr>
          <w:rFonts w:cs="Times New Roman"/>
          <w:b/>
          <w:sz w:val="24"/>
          <w:szCs w:val="24"/>
          <w:lang w:val="en-US"/>
        </w:rPr>
        <w:t xml:space="preserve"> The dashed line represents 1700 dead gulls.</w:t>
      </w:r>
    </w:p>
    <w:p w:rsidR="00D52406" w:rsidRPr="005E1065" w:rsidRDefault="00D52406" w:rsidP="00D52406">
      <w:pPr>
        <w:jc w:val="center"/>
        <w:rPr>
          <w:rFonts w:cs="Times New Roman"/>
          <w:b/>
          <w:sz w:val="24"/>
          <w:szCs w:val="24"/>
          <w:lang w:val="en-US"/>
        </w:rPr>
      </w:pPr>
    </w:p>
    <w:p w:rsidR="009521B2" w:rsidRDefault="009521B2" w:rsidP="009521B2">
      <w:pPr>
        <w:pStyle w:val="Heading3"/>
      </w:pPr>
      <w:bookmarkStart w:id="45" w:name="_Toc343007944"/>
      <w:r>
        <w:t xml:space="preserve">Proportion of Gulls Removed From </w:t>
      </w:r>
      <w:r w:rsidR="00BE7C91">
        <w:t>SFI</w:t>
      </w:r>
      <w:r>
        <w:t xml:space="preserve"> by Hazing</w:t>
      </w:r>
      <w:bookmarkEnd w:id="45"/>
    </w:p>
    <w:p w:rsidR="00C43114" w:rsidRDefault="009521B2">
      <w:pPr>
        <w:rPr>
          <w:rFonts w:cs="Times New Roman"/>
          <w:sz w:val="24"/>
          <w:szCs w:val="24"/>
          <w:lang w:val="en-US"/>
        </w:rPr>
      </w:pPr>
      <w:r w:rsidRPr="00F3695B">
        <w:rPr>
          <w:sz w:val="24"/>
          <w:szCs w:val="24"/>
        </w:rPr>
        <w:t xml:space="preserve">The utility of hazing in reducing gull mortality was investigated by varying hazing success from </w:t>
      </w:r>
      <w:r w:rsidR="00C72D08">
        <w:rPr>
          <w:sz w:val="24"/>
          <w:szCs w:val="24"/>
        </w:rPr>
        <w:t>7</w:t>
      </w:r>
      <w:r w:rsidRPr="00F3695B">
        <w:rPr>
          <w:sz w:val="24"/>
          <w:szCs w:val="24"/>
        </w:rPr>
        <w:t>5 to 98%. The results shown in Figures 5-15 and 5-16 assumed an initial application date of November 29</w:t>
      </w:r>
      <w:r w:rsidR="00F632FF" w:rsidRPr="00F3695B">
        <w:rPr>
          <w:rFonts w:eastAsia="Times New Roman" w:cs="Times New Roman"/>
          <w:sz w:val="24"/>
          <w:szCs w:val="24"/>
          <w:vertAlign w:val="superscript"/>
          <w:lang w:val="en-US"/>
        </w:rPr>
        <w:t>th</w:t>
      </w:r>
      <w:r w:rsidRPr="00F3695B">
        <w:rPr>
          <w:sz w:val="24"/>
          <w:szCs w:val="24"/>
        </w:rPr>
        <w:t xml:space="preserve"> and that the first significant rainfall event occurred 28 days after the second application of diphacinone (see Table 3-1 for other inputs). </w:t>
      </w:r>
      <w:r w:rsidRPr="00F3695B">
        <w:rPr>
          <w:rFonts w:cs="Times New Roman"/>
          <w:sz w:val="24"/>
          <w:szCs w:val="24"/>
          <w:lang w:val="en-US"/>
        </w:rPr>
        <w:t>As expected</w:t>
      </w:r>
      <w:r>
        <w:rPr>
          <w:rFonts w:cs="Times New Roman"/>
          <w:sz w:val="24"/>
          <w:szCs w:val="24"/>
          <w:lang w:val="en-US"/>
        </w:rPr>
        <w:t>, t</w:t>
      </w:r>
      <w:r w:rsidR="00D52406">
        <w:rPr>
          <w:rFonts w:cs="Times New Roman"/>
          <w:sz w:val="24"/>
          <w:szCs w:val="24"/>
          <w:lang w:val="en-US"/>
        </w:rPr>
        <w:t xml:space="preserve">he proportion and </w:t>
      </w:r>
      <w:r>
        <w:rPr>
          <w:rFonts w:cs="Times New Roman"/>
          <w:sz w:val="24"/>
          <w:szCs w:val="24"/>
          <w:lang w:val="en-US"/>
        </w:rPr>
        <w:t xml:space="preserve">number </w:t>
      </w:r>
      <w:r w:rsidR="00D52406">
        <w:rPr>
          <w:rFonts w:cs="Times New Roman"/>
          <w:sz w:val="24"/>
          <w:szCs w:val="24"/>
          <w:lang w:val="en-US"/>
        </w:rPr>
        <w:t xml:space="preserve">of dead gulls decreased as hazing effectiveness increased. At 75% hazing effectiveness, the </w:t>
      </w:r>
      <w:r>
        <w:rPr>
          <w:rFonts w:cs="Times New Roman"/>
          <w:sz w:val="24"/>
          <w:szCs w:val="24"/>
          <w:lang w:val="en-US"/>
        </w:rPr>
        <w:t xml:space="preserve">number </w:t>
      </w:r>
      <w:r w:rsidR="00D52406">
        <w:rPr>
          <w:rFonts w:cs="Times New Roman"/>
          <w:sz w:val="24"/>
          <w:szCs w:val="24"/>
          <w:lang w:val="en-US"/>
        </w:rPr>
        <w:t>of dead gulls was below the threshold of 1700.</w:t>
      </w:r>
    </w:p>
    <w:p w:rsidR="00D52406" w:rsidRDefault="00E61BF9" w:rsidP="00D52406">
      <w:pPr>
        <w:jc w:val="center"/>
        <w:rPr>
          <w:rFonts w:cs="Times New Roman"/>
          <w:sz w:val="24"/>
          <w:szCs w:val="24"/>
          <w:lang w:val="en-US"/>
        </w:rPr>
      </w:pPr>
      <w:r w:rsidRPr="00E61BF9">
        <w:rPr>
          <w:rFonts w:cs="Times New Roman"/>
          <w:noProof/>
          <w:sz w:val="24"/>
          <w:szCs w:val="24"/>
          <w:lang w:val="en-US"/>
        </w:rPr>
        <w:drawing>
          <wp:inline distT="0" distB="0" distL="0" distR="0" wp14:anchorId="712AC663" wp14:editId="1109B2DD">
            <wp:extent cx="4572000" cy="2743200"/>
            <wp:effectExtent l="0" t="0" r="0" b="0"/>
            <wp:docPr id="25"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521B2">
        <w:rPr>
          <w:rFonts w:cs="Times New Roman"/>
          <w:b/>
          <w:sz w:val="24"/>
          <w:szCs w:val="24"/>
          <w:lang w:val="en-US"/>
        </w:rPr>
        <w:t>5-15</w:t>
      </w:r>
      <w:r>
        <w:rPr>
          <w:rFonts w:cs="Times New Roman"/>
          <w:b/>
          <w:sz w:val="24"/>
          <w:szCs w:val="24"/>
          <w:lang w:val="en-US"/>
        </w:rPr>
        <w:t xml:space="preserve">. </w:t>
      </w:r>
      <w:r w:rsidR="009521B2">
        <w:rPr>
          <w:rFonts w:cs="Times New Roman"/>
          <w:b/>
          <w:sz w:val="24"/>
          <w:szCs w:val="24"/>
          <w:lang w:val="en-US"/>
        </w:rPr>
        <w:t>Model results for proportion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004FE7" w:rsidRPr="007552C3">
        <w:rPr>
          <w:rFonts w:cs="Times New Roman"/>
          <w:b/>
          <w:sz w:val="24"/>
          <w:szCs w:val="24"/>
          <w:lang w:val="en-US"/>
        </w:rPr>
        <w:t>, and 28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p>
    <w:p w:rsidR="00D52406" w:rsidRDefault="00E61BF9" w:rsidP="00D52406">
      <w:pPr>
        <w:jc w:val="center"/>
        <w:rPr>
          <w:rFonts w:cs="Times New Roman"/>
          <w:b/>
          <w:sz w:val="24"/>
          <w:szCs w:val="24"/>
          <w:lang w:val="en-US"/>
        </w:rPr>
      </w:pPr>
      <w:r w:rsidRPr="00E61BF9">
        <w:rPr>
          <w:rFonts w:cs="Times New Roman"/>
          <w:b/>
          <w:noProof/>
          <w:sz w:val="24"/>
          <w:szCs w:val="24"/>
          <w:lang w:val="en-US"/>
        </w:rPr>
        <w:drawing>
          <wp:inline distT="0" distB="0" distL="0" distR="0" wp14:anchorId="3C1F752B" wp14:editId="1DDEC4E5">
            <wp:extent cx="4572000" cy="2743200"/>
            <wp:effectExtent l="0" t="0" r="0" b="0"/>
            <wp:docPr id="26"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D26BAE">
        <w:rPr>
          <w:rFonts w:cs="Times New Roman"/>
          <w:b/>
          <w:sz w:val="24"/>
          <w:szCs w:val="24"/>
          <w:lang w:val="en-US"/>
        </w:rPr>
        <w:t>5-16</w:t>
      </w:r>
      <w:r>
        <w:rPr>
          <w:rFonts w:cs="Times New Roman"/>
          <w:b/>
          <w:sz w:val="24"/>
          <w:szCs w:val="24"/>
          <w:lang w:val="en-US"/>
        </w:rPr>
        <w:t xml:space="preserve">. </w:t>
      </w:r>
      <w:r w:rsidR="009521B2">
        <w:rPr>
          <w:rFonts w:cs="Times New Roman"/>
          <w:b/>
          <w:sz w:val="24"/>
          <w:szCs w:val="24"/>
          <w:lang w:val="en-US"/>
        </w:rPr>
        <w:t>Model results for number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004FE7" w:rsidRPr="007552C3">
        <w:rPr>
          <w:rFonts w:cs="Times New Roman"/>
          <w:b/>
          <w:sz w:val="24"/>
          <w:szCs w:val="24"/>
          <w:lang w:val="en-US"/>
        </w:rPr>
        <w:t>, and 28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r>
        <w:rPr>
          <w:rFonts w:cs="Times New Roman"/>
          <w:b/>
          <w:sz w:val="24"/>
          <w:szCs w:val="24"/>
          <w:lang w:val="en-US"/>
        </w:rPr>
        <w:t xml:space="preserve"> The dashed line represents 1700 dead gulls.</w:t>
      </w:r>
    </w:p>
    <w:p w:rsidR="00D26BAE" w:rsidRDefault="00D26BAE" w:rsidP="00D52406">
      <w:pPr>
        <w:rPr>
          <w:rFonts w:cs="Times New Roman"/>
          <w:i/>
          <w:sz w:val="24"/>
          <w:szCs w:val="24"/>
          <w:lang w:val="en-US"/>
        </w:rPr>
      </w:pPr>
    </w:p>
    <w:p w:rsidR="00C43114" w:rsidRDefault="00D52406">
      <w:pPr>
        <w:pStyle w:val="Heading3"/>
      </w:pPr>
      <w:bookmarkStart w:id="46" w:name="_Toc343007945"/>
      <w:r>
        <w:t>Time to Significant Rainfall Event</w:t>
      </w:r>
      <w:bookmarkEnd w:id="46"/>
    </w:p>
    <w:p w:rsidR="00EA7243" w:rsidRDefault="00212C1D" w:rsidP="00D52406">
      <w:pPr>
        <w:rPr>
          <w:rFonts w:cs="Times New Roman"/>
          <w:sz w:val="24"/>
          <w:szCs w:val="24"/>
          <w:lang w:val="en-US"/>
        </w:rPr>
      </w:pPr>
      <w:r>
        <w:rPr>
          <w:rFonts w:cs="Times New Roman"/>
          <w:sz w:val="24"/>
          <w:szCs w:val="24"/>
          <w:lang w:val="en-US"/>
        </w:rPr>
        <w:t>The impact of time to a significant rainfall event after the second application on gull mortality was much more apparent for diphacinone than for brodifacoum.</w:t>
      </w:r>
      <w:r w:rsidR="00D52406">
        <w:rPr>
          <w:rFonts w:cs="Times New Roman"/>
          <w:sz w:val="24"/>
          <w:szCs w:val="24"/>
          <w:lang w:val="en-US"/>
        </w:rPr>
        <w:t xml:space="preserve"> The results </w:t>
      </w:r>
      <w:r>
        <w:rPr>
          <w:rFonts w:cs="Times New Roman"/>
          <w:sz w:val="24"/>
          <w:szCs w:val="24"/>
          <w:lang w:val="en-US"/>
        </w:rPr>
        <w:t>shown in Figures 5-17 and 5-18 assumed</w:t>
      </w:r>
      <w:r w:rsidR="002820FD">
        <w:rPr>
          <w:rFonts w:cs="Times New Roman"/>
          <w:sz w:val="24"/>
          <w:szCs w:val="24"/>
          <w:lang w:val="en-US"/>
        </w:rPr>
        <w:t xml:space="preserve"> an initial application date of November 29</w:t>
      </w:r>
      <w:r w:rsidR="00F632FF" w:rsidRPr="00F632FF">
        <w:rPr>
          <w:rFonts w:cs="Times New Roman"/>
          <w:sz w:val="24"/>
          <w:szCs w:val="24"/>
          <w:vertAlign w:val="superscript"/>
          <w:lang w:val="en-US"/>
        </w:rPr>
        <w:t>th</w:t>
      </w:r>
      <w:r w:rsidR="002820FD">
        <w:rPr>
          <w:rFonts w:cs="Times New Roman"/>
          <w:sz w:val="24"/>
          <w:szCs w:val="24"/>
          <w:lang w:val="en-US"/>
        </w:rPr>
        <w:t xml:space="preserve"> and 90% hazing effectiveness (see Table 3-1 for other inputs)</w:t>
      </w:r>
      <w:r w:rsidR="00D52406">
        <w:rPr>
          <w:rFonts w:cs="Times New Roman"/>
          <w:sz w:val="24"/>
          <w:szCs w:val="24"/>
          <w:lang w:val="en-US"/>
        </w:rPr>
        <w:t xml:space="preserve">. The proportion and </w:t>
      </w:r>
      <w:r w:rsidR="002820FD">
        <w:rPr>
          <w:rFonts w:cs="Times New Roman"/>
          <w:sz w:val="24"/>
          <w:szCs w:val="24"/>
          <w:lang w:val="en-US"/>
        </w:rPr>
        <w:t xml:space="preserve">number </w:t>
      </w:r>
      <w:r w:rsidR="00D52406">
        <w:rPr>
          <w:rFonts w:cs="Times New Roman"/>
          <w:sz w:val="24"/>
          <w:szCs w:val="24"/>
          <w:lang w:val="en-US"/>
        </w:rPr>
        <w:t xml:space="preserve">of dead gulls increased with increasing time until </w:t>
      </w:r>
      <w:r w:rsidR="002820FD">
        <w:rPr>
          <w:rFonts w:cs="Times New Roman"/>
          <w:sz w:val="24"/>
          <w:szCs w:val="24"/>
          <w:lang w:val="en-US"/>
        </w:rPr>
        <w:t xml:space="preserve">the </w:t>
      </w:r>
      <w:r w:rsidR="00D52406">
        <w:rPr>
          <w:rFonts w:cs="Times New Roman"/>
          <w:sz w:val="24"/>
          <w:szCs w:val="24"/>
          <w:lang w:val="en-US"/>
        </w:rPr>
        <w:t>rainfall</w:t>
      </w:r>
      <w:r w:rsidR="002820FD">
        <w:rPr>
          <w:rFonts w:cs="Times New Roman"/>
          <w:sz w:val="24"/>
          <w:szCs w:val="24"/>
          <w:lang w:val="en-US"/>
        </w:rPr>
        <w:t xml:space="preserve"> event</w:t>
      </w:r>
      <w:r w:rsidR="00D52406">
        <w:rPr>
          <w:rFonts w:cs="Times New Roman"/>
          <w:sz w:val="24"/>
          <w:szCs w:val="24"/>
          <w:lang w:val="en-US"/>
        </w:rPr>
        <w:t xml:space="preserve">. </w:t>
      </w:r>
      <w:r w:rsidR="00EA7243">
        <w:rPr>
          <w:rFonts w:cs="Times New Roman"/>
          <w:sz w:val="24"/>
          <w:szCs w:val="24"/>
          <w:lang w:val="en-US"/>
        </w:rPr>
        <w:t>However, the quantity of dead gulls was well below the threshold of 1700 for this scenario.</w:t>
      </w:r>
    </w:p>
    <w:p w:rsidR="00D52406" w:rsidRDefault="002533EC" w:rsidP="00D52406">
      <w:pPr>
        <w:rPr>
          <w:rFonts w:cs="Times New Roman"/>
          <w:sz w:val="24"/>
          <w:szCs w:val="24"/>
          <w:lang w:val="en-US"/>
        </w:rPr>
      </w:pPr>
      <w:r>
        <w:rPr>
          <w:rFonts w:cs="Times New Roman"/>
          <w:sz w:val="24"/>
          <w:szCs w:val="24"/>
          <w:lang w:val="en-US"/>
        </w:rPr>
        <w:t xml:space="preserve">The </w:t>
      </w:r>
      <w:r w:rsidR="00FE2215">
        <w:rPr>
          <w:rFonts w:cs="Times New Roman"/>
          <w:sz w:val="24"/>
          <w:szCs w:val="24"/>
          <w:lang w:val="en-US"/>
        </w:rPr>
        <w:t>worst case</w:t>
      </w:r>
      <w:r>
        <w:rPr>
          <w:rFonts w:cs="Times New Roman"/>
          <w:sz w:val="24"/>
          <w:szCs w:val="24"/>
          <w:lang w:val="en-US"/>
        </w:rPr>
        <w:t xml:space="preserve"> scenario of 117 days elapsing until the first significant rainfall event is </w:t>
      </w:r>
      <w:r w:rsidR="00EA7243">
        <w:rPr>
          <w:rFonts w:cs="Times New Roman"/>
          <w:sz w:val="24"/>
          <w:szCs w:val="24"/>
          <w:lang w:val="en-US"/>
        </w:rPr>
        <w:t>likely</w:t>
      </w:r>
      <w:r>
        <w:rPr>
          <w:rFonts w:cs="Times New Roman"/>
          <w:sz w:val="24"/>
          <w:szCs w:val="24"/>
          <w:lang w:val="en-US"/>
        </w:rPr>
        <w:t xml:space="preserve"> unrealistic for </w:t>
      </w:r>
      <w:r w:rsidR="00BE7C91">
        <w:rPr>
          <w:rFonts w:cs="Times New Roman"/>
          <w:sz w:val="24"/>
          <w:szCs w:val="24"/>
          <w:lang w:val="en-US"/>
        </w:rPr>
        <w:t>SFI</w:t>
      </w:r>
      <w:r>
        <w:rPr>
          <w:rFonts w:cs="Times New Roman"/>
          <w:sz w:val="24"/>
          <w:szCs w:val="24"/>
          <w:lang w:val="en-US"/>
        </w:rPr>
        <w:t xml:space="preserve">. The value was derived using November-December rainfall data from 1972-2010. </w:t>
      </w:r>
      <w:r w:rsidR="00EA7243">
        <w:rPr>
          <w:rFonts w:cs="Times New Roman"/>
          <w:sz w:val="24"/>
          <w:szCs w:val="24"/>
          <w:lang w:val="en-US"/>
        </w:rPr>
        <w:t>Most of the Farallones annual rain falls in January and February, however, which would mean that the likelihood of going 117 days (or nearly 4 months) without a significant rainfall event from the time of the final diphacinone application in November or December would be extremely low. Thus, the model predictions for 4 or 28 days to the first significant rainfall event after the final diphacinone application are likely to be closer to reality.</w:t>
      </w:r>
    </w:p>
    <w:p w:rsidR="00D52406" w:rsidRDefault="001A513E" w:rsidP="00D52406">
      <w:pPr>
        <w:jc w:val="center"/>
        <w:rPr>
          <w:rFonts w:cs="Times New Roman"/>
          <w:b/>
          <w:sz w:val="24"/>
          <w:szCs w:val="24"/>
          <w:lang w:val="en-US"/>
        </w:rPr>
      </w:pPr>
      <w:r>
        <w:rPr>
          <w:noProof/>
          <w:lang w:val="en-US"/>
        </w:rPr>
        <w:drawing>
          <wp:inline distT="0" distB="0" distL="0" distR="0" wp14:anchorId="0634499B" wp14:editId="1EF86C91">
            <wp:extent cx="5486400" cy="3200400"/>
            <wp:effectExtent l="0" t="0" r="0" b="0"/>
            <wp:docPr id="53"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2820FD">
        <w:rPr>
          <w:rFonts w:cs="Times New Roman"/>
          <w:b/>
          <w:sz w:val="24"/>
          <w:szCs w:val="24"/>
          <w:lang w:val="en-US"/>
        </w:rPr>
        <w:t>5-17</w:t>
      </w:r>
      <w:r>
        <w:rPr>
          <w:rFonts w:cs="Times New Roman"/>
          <w:b/>
          <w:sz w:val="24"/>
          <w:szCs w:val="24"/>
          <w:lang w:val="en-US"/>
        </w:rPr>
        <w:t xml:space="preserve">. </w:t>
      </w:r>
      <w:proofErr w:type="gramStart"/>
      <w:r w:rsidR="002820FD">
        <w:rPr>
          <w:rFonts w:cs="Times New Roman"/>
          <w:b/>
          <w:sz w:val="24"/>
          <w:szCs w:val="24"/>
          <w:lang w:val="en-US"/>
        </w:rPr>
        <w:t>Model results for number of dead gulls as a function of time to significant rainfall after the second application</w:t>
      </w:r>
      <w:r w:rsidR="0078288D">
        <w:rPr>
          <w:rFonts w:cs="Times New Roman"/>
          <w:b/>
          <w:sz w:val="24"/>
          <w:szCs w:val="24"/>
          <w:lang w:val="en-US"/>
        </w:rPr>
        <w:t>,</w:t>
      </w:r>
      <w:r w:rsidR="0078288D" w:rsidRPr="0078288D">
        <w:rPr>
          <w:rFonts w:cs="Times New Roman"/>
          <w:b/>
          <w:sz w:val="24"/>
          <w:szCs w:val="24"/>
          <w:lang w:val="en-US"/>
        </w:rPr>
        <w:t xml:space="preserve"> </w:t>
      </w:r>
      <w:r w:rsidR="0078288D" w:rsidRPr="007552C3">
        <w:rPr>
          <w:rFonts w:cs="Times New Roman"/>
          <w:b/>
          <w:sz w:val="24"/>
          <w:szCs w:val="24"/>
          <w:lang w:val="en-US"/>
        </w:rPr>
        <w:t>assuming an initial application date of November 29</w:t>
      </w:r>
      <w:r w:rsidR="0078288D" w:rsidRPr="007552C3">
        <w:rPr>
          <w:rFonts w:cs="Times New Roman"/>
          <w:b/>
          <w:sz w:val="24"/>
          <w:szCs w:val="24"/>
          <w:vertAlign w:val="superscript"/>
          <w:lang w:val="en-US"/>
        </w:rPr>
        <w:t>th</w:t>
      </w:r>
      <w:r w:rsidR="0078288D" w:rsidRPr="007552C3">
        <w:rPr>
          <w:rFonts w:cs="Times New Roman"/>
          <w:b/>
          <w:sz w:val="24"/>
          <w:szCs w:val="24"/>
          <w:lang w:val="en-US"/>
        </w:rPr>
        <w:t xml:space="preserve">, and </w:t>
      </w:r>
      <w:r w:rsidR="0078288D">
        <w:rPr>
          <w:rFonts w:cs="Times New Roman"/>
          <w:b/>
          <w:sz w:val="24"/>
          <w:szCs w:val="24"/>
          <w:lang w:val="en-US"/>
        </w:rPr>
        <w:t>90% hazing effectiveness.</w:t>
      </w:r>
      <w:proofErr w:type="gramEnd"/>
      <w:r w:rsidR="0078288D">
        <w:rPr>
          <w:rFonts w:cs="Times New Roman"/>
          <w:b/>
          <w:sz w:val="24"/>
          <w:szCs w:val="24"/>
          <w:lang w:val="en-US"/>
        </w:rPr>
        <w:t xml:space="preserve"> All other input values are listed in Table 3-1</w:t>
      </w:r>
      <w:r w:rsidR="002820FD">
        <w:rPr>
          <w:rFonts w:cs="Times New Roman"/>
          <w:b/>
          <w:sz w:val="24"/>
          <w:szCs w:val="24"/>
          <w:lang w:val="en-US"/>
        </w:rPr>
        <w:t>.</w:t>
      </w:r>
    </w:p>
    <w:p w:rsidR="00D52406" w:rsidRDefault="001A513E" w:rsidP="00D52406">
      <w:pPr>
        <w:jc w:val="center"/>
        <w:rPr>
          <w:rFonts w:cs="Times New Roman"/>
          <w:b/>
          <w:sz w:val="24"/>
          <w:szCs w:val="24"/>
          <w:lang w:val="en-US"/>
        </w:rPr>
      </w:pPr>
      <w:r>
        <w:rPr>
          <w:noProof/>
          <w:lang w:val="en-US"/>
        </w:rPr>
        <w:drawing>
          <wp:inline distT="0" distB="0" distL="0" distR="0" wp14:anchorId="3B69C56D" wp14:editId="63C7BCC3">
            <wp:extent cx="5534108" cy="3172571"/>
            <wp:effectExtent l="0" t="0" r="0" b="0"/>
            <wp:docPr id="54"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2820FD">
        <w:rPr>
          <w:rFonts w:cs="Times New Roman"/>
          <w:b/>
          <w:sz w:val="24"/>
          <w:szCs w:val="24"/>
          <w:lang w:val="en-US"/>
        </w:rPr>
        <w:t>5-18</w:t>
      </w:r>
      <w:r>
        <w:rPr>
          <w:rFonts w:cs="Times New Roman"/>
          <w:b/>
          <w:sz w:val="24"/>
          <w:szCs w:val="24"/>
          <w:lang w:val="en-US"/>
        </w:rPr>
        <w:t xml:space="preserve">. </w:t>
      </w:r>
      <w:proofErr w:type="gramStart"/>
      <w:r w:rsidR="002820FD">
        <w:rPr>
          <w:rFonts w:cs="Times New Roman"/>
          <w:b/>
          <w:sz w:val="24"/>
          <w:szCs w:val="24"/>
          <w:lang w:val="en-US"/>
        </w:rPr>
        <w:t>Model results for number of dead gulls as a function of time to significant rainfall after the second application</w:t>
      </w:r>
      <w:r w:rsidR="0078288D">
        <w:rPr>
          <w:rFonts w:cs="Times New Roman"/>
          <w:b/>
          <w:sz w:val="24"/>
          <w:szCs w:val="24"/>
          <w:lang w:val="en-US"/>
        </w:rPr>
        <w:t>,</w:t>
      </w:r>
      <w:r w:rsidR="0078288D" w:rsidRPr="0078288D">
        <w:rPr>
          <w:rFonts w:cs="Times New Roman"/>
          <w:b/>
          <w:sz w:val="24"/>
          <w:szCs w:val="24"/>
          <w:lang w:val="en-US"/>
        </w:rPr>
        <w:t xml:space="preserve"> </w:t>
      </w:r>
      <w:r w:rsidR="0078288D" w:rsidRPr="007552C3">
        <w:rPr>
          <w:rFonts w:cs="Times New Roman"/>
          <w:b/>
          <w:sz w:val="24"/>
          <w:szCs w:val="24"/>
          <w:lang w:val="en-US"/>
        </w:rPr>
        <w:t>assuming an initial application date of November 29</w:t>
      </w:r>
      <w:r w:rsidR="0078288D" w:rsidRPr="007552C3">
        <w:rPr>
          <w:rFonts w:cs="Times New Roman"/>
          <w:b/>
          <w:sz w:val="24"/>
          <w:szCs w:val="24"/>
          <w:vertAlign w:val="superscript"/>
          <w:lang w:val="en-US"/>
        </w:rPr>
        <w:t>th</w:t>
      </w:r>
      <w:r w:rsidR="0078288D" w:rsidRPr="007552C3">
        <w:rPr>
          <w:rFonts w:cs="Times New Roman"/>
          <w:b/>
          <w:sz w:val="24"/>
          <w:szCs w:val="24"/>
          <w:lang w:val="en-US"/>
        </w:rPr>
        <w:t xml:space="preserve">, and </w:t>
      </w:r>
      <w:r w:rsidR="0078288D">
        <w:rPr>
          <w:rFonts w:cs="Times New Roman"/>
          <w:b/>
          <w:sz w:val="24"/>
          <w:szCs w:val="24"/>
          <w:lang w:val="en-US"/>
        </w:rPr>
        <w:t>90% hazing effectiveness.</w:t>
      </w:r>
      <w:proofErr w:type="gramEnd"/>
      <w:r w:rsidR="0078288D">
        <w:rPr>
          <w:rFonts w:cs="Times New Roman"/>
          <w:b/>
          <w:sz w:val="24"/>
          <w:szCs w:val="24"/>
          <w:lang w:val="en-US"/>
        </w:rPr>
        <w:t xml:space="preserve"> All other input values are listed in Table 3-1</w:t>
      </w:r>
      <w:r w:rsidR="002820FD">
        <w:rPr>
          <w:rFonts w:cs="Times New Roman"/>
          <w:b/>
          <w:sz w:val="24"/>
          <w:szCs w:val="24"/>
          <w:lang w:val="en-US"/>
        </w:rPr>
        <w:t xml:space="preserve">. </w:t>
      </w:r>
      <w:r>
        <w:rPr>
          <w:rFonts w:cs="Times New Roman"/>
          <w:b/>
          <w:sz w:val="24"/>
          <w:szCs w:val="24"/>
          <w:lang w:val="en-US"/>
        </w:rPr>
        <w:t>The dashed line represents 1700 dead gulls.</w:t>
      </w:r>
    </w:p>
    <w:p w:rsidR="002820FD" w:rsidRDefault="002820FD" w:rsidP="00D52406">
      <w:pPr>
        <w:rPr>
          <w:rFonts w:cs="Times New Roman"/>
          <w:i/>
          <w:sz w:val="24"/>
          <w:szCs w:val="24"/>
          <w:lang w:val="en-US"/>
        </w:rPr>
      </w:pPr>
    </w:p>
    <w:p w:rsidR="00C43114" w:rsidRDefault="00D52406">
      <w:pPr>
        <w:pStyle w:val="Heading3"/>
      </w:pPr>
      <w:bookmarkStart w:id="47" w:name="_Toc343007946"/>
      <w:r>
        <w:t>Number of Applications</w:t>
      </w:r>
      <w:bookmarkEnd w:id="47"/>
    </w:p>
    <w:p w:rsidR="00D52406" w:rsidRPr="00877F31" w:rsidRDefault="00D52406" w:rsidP="00D52406">
      <w:pPr>
        <w:rPr>
          <w:rFonts w:cs="Times New Roman"/>
          <w:sz w:val="24"/>
          <w:szCs w:val="24"/>
          <w:lang w:val="en-US"/>
        </w:rPr>
      </w:pPr>
      <w:r>
        <w:rPr>
          <w:rFonts w:cs="Times New Roman"/>
          <w:sz w:val="24"/>
          <w:szCs w:val="24"/>
          <w:lang w:val="en-US"/>
        </w:rPr>
        <w:t xml:space="preserve">The effect on number of applications was modeled </w:t>
      </w:r>
      <w:r w:rsidR="00CA3C8C">
        <w:rPr>
          <w:rFonts w:cs="Times New Roman"/>
          <w:sz w:val="24"/>
          <w:szCs w:val="24"/>
          <w:lang w:val="en-US"/>
        </w:rPr>
        <w:t>for 1, 2 and 3 applications of diphacinone</w:t>
      </w:r>
      <w:r>
        <w:rPr>
          <w:rFonts w:cs="Times New Roman"/>
          <w:sz w:val="24"/>
          <w:szCs w:val="24"/>
          <w:lang w:val="en-US"/>
        </w:rPr>
        <w:t xml:space="preserve">. </w:t>
      </w:r>
      <w:r w:rsidR="00F702D6">
        <w:rPr>
          <w:rFonts w:cs="Times New Roman"/>
          <w:sz w:val="24"/>
          <w:szCs w:val="24"/>
          <w:lang w:val="en-US"/>
        </w:rPr>
        <w:t>T</w:t>
      </w:r>
      <w:r w:rsidR="00CA3C8C">
        <w:rPr>
          <w:rFonts w:cs="Times New Roman"/>
          <w:sz w:val="24"/>
          <w:szCs w:val="24"/>
          <w:lang w:val="en-US"/>
        </w:rPr>
        <w:t>he results shown in Figures 5-19 and 5-20 assumed an initial application date of</w:t>
      </w:r>
      <w:r>
        <w:rPr>
          <w:rFonts w:cs="Times New Roman"/>
          <w:sz w:val="24"/>
          <w:szCs w:val="24"/>
          <w:lang w:val="en-US"/>
        </w:rPr>
        <w:t xml:space="preserve"> November 29</w:t>
      </w:r>
      <w:r w:rsidRPr="00877F31">
        <w:rPr>
          <w:rFonts w:cs="Times New Roman"/>
          <w:sz w:val="24"/>
          <w:szCs w:val="24"/>
          <w:vertAlign w:val="superscript"/>
          <w:lang w:val="en-US"/>
        </w:rPr>
        <w:t>th</w:t>
      </w:r>
      <w:r>
        <w:rPr>
          <w:rFonts w:cs="Times New Roman"/>
          <w:sz w:val="24"/>
          <w:szCs w:val="24"/>
          <w:lang w:val="en-US"/>
        </w:rPr>
        <w:t xml:space="preserve">, </w:t>
      </w:r>
      <w:r w:rsidR="00F621F7">
        <w:rPr>
          <w:rFonts w:cs="Times New Roman"/>
          <w:sz w:val="24"/>
          <w:szCs w:val="24"/>
          <w:lang w:val="en-US"/>
        </w:rPr>
        <w:t>90</w:t>
      </w:r>
      <w:r>
        <w:rPr>
          <w:rFonts w:cs="Times New Roman"/>
          <w:sz w:val="24"/>
          <w:szCs w:val="24"/>
          <w:lang w:val="en-US"/>
        </w:rPr>
        <w:t xml:space="preserve">% hazing effectiveness, </w:t>
      </w:r>
      <w:r w:rsidR="00CA3C8C">
        <w:rPr>
          <w:rFonts w:cs="Times New Roman"/>
          <w:sz w:val="24"/>
          <w:szCs w:val="24"/>
          <w:lang w:val="en-US"/>
        </w:rPr>
        <w:t xml:space="preserve">and </w:t>
      </w:r>
      <w:r>
        <w:rPr>
          <w:rFonts w:cs="Times New Roman"/>
          <w:sz w:val="24"/>
          <w:szCs w:val="24"/>
          <w:lang w:val="en-US"/>
        </w:rPr>
        <w:t xml:space="preserve">28 days until the first </w:t>
      </w:r>
      <w:r w:rsidR="00CA3C8C">
        <w:rPr>
          <w:rFonts w:cs="Times New Roman"/>
          <w:sz w:val="24"/>
          <w:szCs w:val="24"/>
          <w:lang w:val="en-US"/>
        </w:rPr>
        <w:t xml:space="preserve">significant </w:t>
      </w:r>
      <w:r>
        <w:rPr>
          <w:rFonts w:cs="Times New Roman"/>
          <w:sz w:val="24"/>
          <w:szCs w:val="24"/>
          <w:lang w:val="en-US"/>
        </w:rPr>
        <w:t>rainfall</w:t>
      </w:r>
      <w:r w:rsidR="00CA3C8C">
        <w:rPr>
          <w:rFonts w:cs="Times New Roman"/>
          <w:sz w:val="24"/>
          <w:szCs w:val="24"/>
          <w:lang w:val="en-US"/>
        </w:rPr>
        <w:t xml:space="preserve"> event after the second application</w:t>
      </w:r>
      <w:r w:rsidR="009941BC">
        <w:rPr>
          <w:rFonts w:cs="Times New Roman"/>
          <w:sz w:val="24"/>
          <w:szCs w:val="24"/>
          <w:lang w:val="en-US"/>
        </w:rPr>
        <w:t xml:space="preserve"> (see Table 3-1 for other inputs)</w:t>
      </w:r>
      <w:r>
        <w:rPr>
          <w:rFonts w:cs="Times New Roman"/>
          <w:sz w:val="24"/>
          <w:szCs w:val="24"/>
          <w:lang w:val="en-US"/>
        </w:rPr>
        <w:t xml:space="preserve">. </w:t>
      </w:r>
      <w:r w:rsidR="00CA3C8C">
        <w:rPr>
          <w:rFonts w:cs="Times New Roman"/>
          <w:sz w:val="24"/>
          <w:szCs w:val="24"/>
          <w:lang w:val="en-US"/>
        </w:rPr>
        <w:t>The results indicate that gull mortality would be near zero with only 1 or 2 applications of diphacinone but that a 3</w:t>
      </w:r>
      <w:r w:rsidR="00F632FF" w:rsidRPr="00F632FF">
        <w:rPr>
          <w:rFonts w:cs="Times New Roman"/>
          <w:sz w:val="24"/>
          <w:szCs w:val="24"/>
          <w:vertAlign w:val="superscript"/>
          <w:lang w:val="en-US"/>
        </w:rPr>
        <w:t>rd</w:t>
      </w:r>
      <w:r w:rsidR="00CA3C8C">
        <w:rPr>
          <w:rFonts w:cs="Times New Roman"/>
          <w:sz w:val="24"/>
          <w:szCs w:val="24"/>
          <w:lang w:val="en-US"/>
        </w:rPr>
        <w:t xml:space="preserve"> application</w:t>
      </w:r>
      <w:r>
        <w:rPr>
          <w:rFonts w:cs="Times New Roman"/>
          <w:sz w:val="24"/>
          <w:szCs w:val="24"/>
          <w:lang w:val="en-US"/>
        </w:rPr>
        <w:t xml:space="preserve"> greatly </w:t>
      </w:r>
      <w:r w:rsidR="00CA3C8C">
        <w:rPr>
          <w:rFonts w:cs="Times New Roman"/>
          <w:sz w:val="24"/>
          <w:szCs w:val="24"/>
          <w:lang w:val="en-US"/>
        </w:rPr>
        <w:t xml:space="preserve">increases gull mortality. </w:t>
      </w:r>
    </w:p>
    <w:p w:rsidR="00D52406" w:rsidRDefault="00F621F7" w:rsidP="00D52406">
      <w:pPr>
        <w:jc w:val="center"/>
        <w:rPr>
          <w:rFonts w:cs="Times New Roman"/>
          <w:sz w:val="24"/>
          <w:szCs w:val="24"/>
          <w:lang w:val="en-US"/>
        </w:rPr>
      </w:pPr>
      <w:r w:rsidRPr="00F621F7">
        <w:rPr>
          <w:rFonts w:cs="Times New Roman"/>
          <w:noProof/>
          <w:sz w:val="24"/>
          <w:szCs w:val="24"/>
          <w:lang w:val="en-US"/>
        </w:rPr>
        <w:drawing>
          <wp:inline distT="0" distB="0" distL="0" distR="0" wp14:anchorId="55F03392" wp14:editId="7AF7471F">
            <wp:extent cx="4572000" cy="2743200"/>
            <wp:effectExtent l="0" t="0" r="0" b="0"/>
            <wp:docPr id="27"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5-19</w:t>
      </w:r>
      <w:r>
        <w:rPr>
          <w:rFonts w:cs="Times New Roman"/>
          <w:b/>
          <w:sz w:val="24"/>
          <w:szCs w:val="24"/>
          <w:lang w:val="en-US"/>
        </w:rPr>
        <w:t xml:space="preserve">. </w:t>
      </w:r>
      <w:r w:rsidR="009941BC">
        <w:rPr>
          <w:rFonts w:cs="Times New Roman"/>
          <w:b/>
          <w:sz w:val="24"/>
          <w:szCs w:val="24"/>
          <w:lang w:val="en-US"/>
        </w:rPr>
        <w:t>Model results for proportion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w:t>
      </w:r>
    </w:p>
    <w:p w:rsidR="00D52406" w:rsidRDefault="00F621F7" w:rsidP="00D52406">
      <w:pPr>
        <w:jc w:val="center"/>
        <w:rPr>
          <w:rFonts w:cs="Times New Roman"/>
          <w:b/>
          <w:sz w:val="24"/>
          <w:szCs w:val="24"/>
          <w:lang w:val="en-US"/>
        </w:rPr>
      </w:pPr>
      <w:r w:rsidRPr="00F621F7">
        <w:rPr>
          <w:rFonts w:cs="Times New Roman"/>
          <w:b/>
          <w:noProof/>
          <w:sz w:val="24"/>
          <w:szCs w:val="24"/>
          <w:lang w:val="en-US"/>
        </w:rPr>
        <w:drawing>
          <wp:inline distT="0" distB="0" distL="0" distR="0" wp14:anchorId="7B705D5B" wp14:editId="20BA57E2">
            <wp:extent cx="4572000" cy="2743200"/>
            <wp:effectExtent l="0" t="0" r="0" b="0"/>
            <wp:docPr id="28"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5-20</w:t>
      </w:r>
      <w:r>
        <w:rPr>
          <w:rFonts w:cs="Times New Roman"/>
          <w:b/>
          <w:sz w:val="24"/>
          <w:szCs w:val="24"/>
          <w:lang w:val="en-US"/>
        </w:rPr>
        <w:t xml:space="preserve">. </w:t>
      </w:r>
      <w:r w:rsidR="009941BC">
        <w:rPr>
          <w:rFonts w:cs="Times New Roman"/>
          <w:b/>
          <w:sz w:val="24"/>
          <w:szCs w:val="24"/>
          <w:lang w:val="en-US"/>
        </w:rPr>
        <w:t>Model results for number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 xml:space="preserve">. </w:t>
      </w:r>
      <w:r>
        <w:rPr>
          <w:rFonts w:cs="Times New Roman"/>
          <w:b/>
          <w:sz w:val="24"/>
          <w:szCs w:val="24"/>
          <w:lang w:val="en-US"/>
        </w:rPr>
        <w:t>The dash line represents 1700 dead gulls.</w:t>
      </w:r>
    </w:p>
    <w:p w:rsidR="00632F3B" w:rsidRPr="008622CE" w:rsidRDefault="00632F3B" w:rsidP="00D52406">
      <w:pPr>
        <w:jc w:val="center"/>
        <w:rPr>
          <w:rFonts w:cs="Times New Roman"/>
          <w:b/>
          <w:sz w:val="24"/>
          <w:szCs w:val="24"/>
          <w:lang w:val="en-US"/>
        </w:rPr>
      </w:pPr>
    </w:p>
    <w:p w:rsidR="00C43114" w:rsidRDefault="00632F3B">
      <w:pPr>
        <w:pStyle w:val="Heading3"/>
      </w:pPr>
      <w:bookmarkStart w:id="48" w:name="_Toc343007947"/>
      <w:r>
        <w:t xml:space="preserve">Removal of </w:t>
      </w:r>
      <w:r w:rsidR="00D52406">
        <w:t>Dead Mice</w:t>
      </w:r>
      <w:bookmarkEnd w:id="48"/>
    </w:p>
    <w:p w:rsidR="00761003" w:rsidRPr="00634472" w:rsidRDefault="00D52406" w:rsidP="00761003">
      <w:pPr>
        <w:rPr>
          <w:rFonts w:cs="Times New Roman"/>
          <w:sz w:val="24"/>
          <w:szCs w:val="24"/>
          <w:lang w:val="en-US"/>
        </w:rPr>
      </w:pPr>
      <w:r>
        <w:rPr>
          <w:rFonts w:cs="Times New Roman"/>
          <w:sz w:val="24"/>
          <w:szCs w:val="24"/>
          <w:lang w:val="en-US"/>
        </w:rPr>
        <w:t xml:space="preserve">Removal of dead mice was modeled to determine if </w:t>
      </w:r>
      <w:r w:rsidR="00B55A3D">
        <w:rPr>
          <w:rFonts w:cs="Times New Roman"/>
          <w:sz w:val="24"/>
          <w:szCs w:val="24"/>
          <w:lang w:val="en-US"/>
        </w:rPr>
        <w:t xml:space="preserve">this mitigation practice would reduce </w:t>
      </w:r>
      <w:r>
        <w:rPr>
          <w:rFonts w:cs="Times New Roman"/>
          <w:sz w:val="24"/>
          <w:szCs w:val="24"/>
          <w:lang w:val="en-US"/>
        </w:rPr>
        <w:t>gull</w:t>
      </w:r>
      <w:r w:rsidR="00B55A3D">
        <w:rPr>
          <w:rFonts w:cs="Times New Roman"/>
          <w:sz w:val="24"/>
          <w:szCs w:val="24"/>
          <w:lang w:val="en-US"/>
        </w:rPr>
        <w:t xml:space="preserve"> mortality</w:t>
      </w:r>
      <w:r>
        <w:rPr>
          <w:rFonts w:cs="Times New Roman"/>
          <w:sz w:val="24"/>
          <w:szCs w:val="24"/>
          <w:lang w:val="en-US"/>
        </w:rPr>
        <w:t xml:space="preserve">. The results </w:t>
      </w:r>
      <w:r w:rsidR="00B55A3D">
        <w:rPr>
          <w:rFonts w:cs="Times New Roman"/>
          <w:sz w:val="24"/>
          <w:szCs w:val="24"/>
          <w:lang w:val="en-US"/>
        </w:rPr>
        <w:t>shown in Figures 5-21 and 5-22 assumed</w:t>
      </w:r>
      <w:r>
        <w:rPr>
          <w:rFonts w:cs="Times New Roman"/>
          <w:sz w:val="24"/>
          <w:szCs w:val="24"/>
          <w:lang w:val="en-US"/>
        </w:rPr>
        <w:t xml:space="preserve"> an initial application date of November 29</w:t>
      </w:r>
      <w:r w:rsidRPr="00122767">
        <w:rPr>
          <w:rFonts w:cs="Times New Roman"/>
          <w:sz w:val="24"/>
          <w:szCs w:val="24"/>
          <w:vertAlign w:val="superscript"/>
          <w:lang w:val="en-US"/>
        </w:rPr>
        <w:t>th</w:t>
      </w:r>
      <w:r>
        <w:rPr>
          <w:rFonts w:cs="Times New Roman"/>
          <w:sz w:val="24"/>
          <w:szCs w:val="24"/>
          <w:lang w:val="en-US"/>
        </w:rPr>
        <w:t xml:space="preserve">, </w:t>
      </w:r>
      <w:r w:rsidR="00AF1123">
        <w:rPr>
          <w:rFonts w:cs="Times New Roman"/>
          <w:sz w:val="24"/>
          <w:szCs w:val="24"/>
          <w:lang w:val="en-US"/>
        </w:rPr>
        <w:t>90</w:t>
      </w:r>
      <w:r>
        <w:rPr>
          <w:rFonts w:cs="Times New Roman"/>
          <w:sz w:val="24"/>
          <w:szCs w:val="24"/>
          <w:lang w:val="en-US"/>
        </w:rPr>
        <w:t xml:space="preserve">% hazing effectiveness, </w:t>
      </w:r>
      <w:r w:rsidR="00B55A3D">
        <w:rPr>
          <w:rFonts w:cs="Times New Roman"/>
          <w:sz w:val="24"/>
          <w:szCs w:val="24"/>
          <w:lang w:val="en-US"/>
        </w:rPr>
        <w:t xml:space="preserve">and </w:t>
      </w:r>
      <w:r>
        <w:rPr>
          <w:rFonts w:cs="Times New Roman"/>
          <w:sz w:val="24"/>
          <w:szCs w:val="24"/>
          <w:lang w:val="en-US"/>
        </w:rPr>
        <w:t xml:space="preserve">28 days until the first </w:t>
      </w:r>
      <w:r w:rsidR="00B55A3D">
        <w:rPr>
          <w:rFonts w:cs="Times New Roman"/>
          <w:sz w:val="24"/>
          <w:szCs w:val="24"/>
          <w:lang w:val="en-US"/>
        </w:rPr>
        <w:t xml:space="preserve">significant </w:t>
      </w:r>
      <w:r>
        <w:rPr>
          <w:rFonts w:cs="Times New Roman"/>
          <w:sz w:val="24"/>
          <w:szCs w:val="24"/>
          <w:lang w:val="en-US"/>
        </w:rPr>
        <w:t>rainfall</w:t>
      </w:r>
      <w:r w:rsidR="00B55A3D">
        <w:rPr>
          <w:rFonts w:cs="Times New Roman"/>
          <w:sz w:val="24"/>
          <w:szCs w:val="24"/>
          <w:lang w:val="en-US"/>
        </w:rPr>
        <w:t xml:space="preserve"> event after the second application (see Table 3-1 for other inputs)</w:t>
      </w:r>
      <w:r>
        <w:rPr>
          <w:rFonts w:cs="Times New Roman"/>
          <w:sz w:val="24"/>
          <w:szCs w:val="24"/>
          <w:lang w:val="en-US"/>
        </w:rPr>
        <w:t xml:space="preserve">. </w:t>
      </w:r>
      <w:r w:rsidR="000E2AC9">
        <w:rPr>
          <w:rFonts w:cs="Times New Roman"/>
          <w:sz w:val="24"/>
          <w:szCs w:val="24"/>
          <w:lang w:val="en-US"/>
        </w:rPr>
        <w:t>As with brodifacoum, r</w:t>
      </w:r>
      <w:r>
        <w:rPr>
          <w:rFonts w:cs="Times New Roman"/>
          <w:sz w:val="24"/>
          <w:szCs w:val="24"/>
          <w:lang w:val="en-US"/>
        </w:rPr>
        <w:t xml:space="preserve">emoving dead mice did not significantly improve the survival of </w:t>
      </w:r>
      <w:r w:rsidR="000E2AC9">
        <w:rPr>
          <w:rFonts w:cs="Times New Roman"/>
          <w:sz w:val="24"/>
          <w:szCs w:val="24"/>
          <w:lang w:val="en-US"/>
        </w:rPr>
        <w:t xml:space="preserve">western </w:t>
      </w:r>
      <w:r>
        <w:rPr>
          <w:rFonts w:cs="Times New Roman"/>
          <w:sz w:val="24"/>
          <w:szCs w:val="24"/>
          <w:lang w:val="en-US"/>
        </w:rPr>
        <w:t>gulls</w:t>
      </w:r>
      <w:r w:rsidR="000E2AC9">
        <w:rPr>
          <w:rFonts w:cs="Times New Roman"/>
          <w:sz w:val="24"/>
          <w:szCs w:val="24"/>
          <w:lang w:val="en-US"/>
        </w:rPr>
        <w:t xml:space="preserve"> for diphacinone</w:t>
      </w:r>
      <w:r>
        <w:rPr>
          <w:rFonts w:cs="Times New Roman"/>
          <w:sz w:val="24"/>
          <w:szCs w:val="24"/>
          <w:lang w:val="en-US"/>
        </w:rPr>
        <w:t xml:space="preserve">. </w:t>
      </w:r>
    </w:p>
    <w:p w:rsidR="00D52406" w:rsidRDefault="00D52406" w:rsidP="00D52406">
      <w:pPr>
        <w:rPr>
          <w:rFonts w:cs="Times New Roman"/>
          <w:sz w:val="24"/>
          <w:szCs w:val="24"/>
          <w:lang w:val="en-US"/>
        </w:rPr>
      </w:pPr>
    </w:p>
    <w:p w:rsidR="00D52406" w:rsidRDefault="002B43C9" w:rsidP="00D52406">
      <w:pPr>
        <w:jc w:val="center"/>
        <w:rPr>
          <w:rFonts w:cs="Times New Roman"/>
          <w:b/>
          <w:sz w:val="24"/>
          <w:szCs w:val="24"/>
          <w:lang w:val="en-US"/>
        </w:rPr>
      </w:pPr>
      <w:r w:rsidRPr="002B43C9">
        <w:rPr>
          <w:rFonts w:cs="Times New Roman"/>
          <w:b/>
          <w:noProof/>
          <w:sz w:val="24"/>
          <w:szCs w:val="24"/>
          <w:lang w:val="en-US"/>
        </w:rPr>
        <w:drawing>
          <wp:inline distT="0" distB="0" distL="0" distR="0" wp14:anchorId="615C84F2" wp14:editId="35651A4C">
            <wp:extent cx="4572000" cy="2743200"/>
            <wp:effectExtent l="0" t="0" r="0" b="0"/>
            <wp:docPr id="3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5-21</w:t>
      </w:r>
      <w:r>
        <w:rPr>
          <w:rFonts w:cs="Times New Roman"/>
          <w:b/>
          <w:sz w:val="24"/>
          <w:szCs w:val="24"/>
          <w:lang w:val="en-US"/>
        </w:rPr>
        <w:t xml:space="preserve">. </w:t>
      </w:r>
      <w:r w:rsidR="008F6249">
        <w:rPr>
          <w:rFonts w:cs="Times New Roman"/>
          <w:b/>
          <w:sz w:val="24"/>
          <w:szCs w:val="24"/>
          <w:lang w:val="en-US"/>
        </w:rPr>
        <w:t>Model results for proportion of dead gulls as a function of whether mice are removed</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sidR="008F6249">
        <w:rPr>
          <w:rFonts w:cs="Times New Roman"/>
          <w:b/>
          <w:sz w:val="24"/>
          <w:szCs w:val="24"/>
          <w:lang w:val="en-US"/>
        </w:rPr>
        <w:t>.</w:t>
      </w:r>
    </w:p>
    <w:p w:rsidR="00D52406" w:rsidRDefault="002B43C9" w:rsidP="00D52406">
      <w:pPr>
        <w:jc w:val="center"/>
        <w:rPr>
          <w:rFonts w:cs="Times New Roman"/>
          <w:b/>
          <w:sz w:val="24"/>
          <w:szCs w:val="24"/>
          <w:lang w:val="en-US"/>
        </w:rPr>
      </w:pPr>
      <w:r w:rsidRPr="002B43C9">
        <w:rPr>
          <w:rFonts w:cs="Times New Roman"/>
          <w:b/>
          <w:noProof/>
          <w:sz w:val="24"/>
          <w:szCs w:val="24"/>
          <w:lang w:val="en-US"/>
        </w:rPr>
        <w:drawing>
          <wp:inline distT="0" distB="0" distL="0" distR="0" wp14:anchorId="02AE9C0C" wp14:editId="7FA521F1">
            <wp:extent cx="4572000" cy="2752725"/>
            <wp:effectExtent l="0" t="0" r="0" b="0"/>
            <wp:docPr id="33"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5-22</w:t>
      </w:r>
      <w:r>
        <w:rPr>
          <w:rFonts w:cs="Times New Roman"/>
          <w:b/>
          <w:sz w:val="24"/>
          <w:szCs w:val="24"/>
          <w:lang w:val="en-US"/>
        </w:rPr>
        <w:t xml:space="preserve">. </w:t>
      </w:r>
      <w:r w:rsidR="008F6249">
        <w:rPr>
          <w:rFonts w:cs="Times New Roman"/>
          <w:b/>
          <w:sz w:val="24"/>
          <w:szCs w:val="24"/>
          <w:lang w:val="en-US"/>
        </w:rPr>
        <w:t xml:space="preserve">Model results for number of dead gulls as a function of whether mice are removed. </w:t>
      </w:r>
      <w:r>
        <w:rPr>
          <w:rFonts w:cs="Times New Roman"/>
          <w:b/>
          <w:sz w:val="24"/>
          <w:szCs w:val="24"/>
          <w:lang w:val="en-US"/>
        </w:rPr>
        <w:t>The dashed line represents 1700 dead gulls</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AF1123">
        <w:rPr>
          <w:rFonts w:cs="Times New Roman"/>
          <w:b/>
          <w:sz w:val="24"/>
          <w:szCs w:val="24"/>
          <w:lang w:val="en-US"/>
        </w:rPr>
        <w:t xml:space="preserve">28 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pStyle w:val="Heading2"/>
      </w:pPr>
      <w:bookmarkStart w:id="49" w:name="_Toc343007948"/>
      <w:r w:rsidRPr="0099279C">
        <w:t>Sensitivity Analysis</w:t>
      </w:r>
      <w:bookmarkEnd w:id="49"/>
    </w:p>
    <w:p w:rsidR="00D52406" w:rsidRDefault="00D52406" w:rsidP="00D52406">
      <w:pPr>
        <w:rPr>
          <w:rFonts w:cs="Times New Roman"/>
          <w:sz w:val="24"/>
        </w:rPr>
      </w:pPr>
      <w:r>
        <w:rPr>
          <w:rFonts w:cs="Times New Roman"/>
          <w:sz w:val="24"/>
        </w:rPr>
        <w:t xml:space="preserve">The purpose of the sensitivity analysis is to identify how variation in the output of a model (e.g., number of dead birds) is influenced by uncertainty in the input variables. If the output variability precludes effective decision making, sensitivity analysis may be used to identify the input variables that contribute the most to the observed output </w:t>
      </w:r>
      <w:r w:rsidR="003658A6">
        <w:rPr>
          <w:rFonts w:cs="Times New Roman"/>
          <w:sz w:val="24"/>
        </w:rPr>
        <w:t>variability</w:t>
      </w:r>
      <w:r>
        <w:rPr>
          <w:rFonts w:cs="Times New Roman"/>
          <w:sz w:val="24"/>
        </w:rPr>
        <w:t>. Subsequently, research efforts may be initiated to reduce uncertainty in those input variables.</w:t>
      </w:r>
    </w:p>
    <w:p w:rsidR="00D52406" w:rsidRDefault="00D52406" w:rsidP="00D52406">
      <w:pPr>
        <w:rPr>
          <w:rFonts w:cs="Times New Roman"/>
          <w:sz w:val="24"/>
        </w:rPr>
      </w:pPr>
      <w:r>
        <w:rPr>
          <w:rFonts w:cs="Times New Roman"/>
          <w:sz w:val="24"/>
        </w:rPr>
        <w:t>Uncertainty and sensitivity analyses both focus on the output of a model and are therefore closely related. However, the purposes of the two types of analyses are different. An uncertainty analysis assesses the uncertainty in model outputs that derives from uncertainty in the inputs. A sensitivity analysis assesses the contributions of the inputs to the total uncertainty in the output.</w:t>
      </w:r>
    </w:p>
    <w:p w:rsidR="00D52406" w:rsidRDefault="00D52406" w:rsidP="00D52406">
      <w:pPr>
        <w:rPr>
          <w:rFonts w:cs="Times New Roman"/>
          <w:sz w:val="24"/>
        </w:rPr>
      </w:pPr>
      <w:r>
        <w:rPr>
          <w:rFonts w:cs="Times New Roman"/>
          <w:sz w:val="24"/>
        </w:rPr>
        <w:t>Sensitivity analysis methods may be classified into three groups: screening methods, methods for local sensitivity analysis, and methods for global sensitivity analysis. Screening methods are generally used to separate influential input variables from non-influential ones, rather than quantify the impact that an input variable has on the output of the model. Screening methods are useful for models with large numbers of input variables. They are able to identify important input variables with little computational effort, but at a cost of losing quantitative information on the importance of the input variables. In contrast, local and global sensitivity measures provide quantitative estimates of the importance of each input variable. The difference between them is that the former focuses on estimating the impact of small changes in input variable values on model output, while the latter addresses the contribution to model output variance over the entire range of each input variable distribution.</w:t>
      </w:r>
    </w:p>
    <w:p w:rsidR="00D52406" w:rsidRDefault="00D52406" w:rsidP="00D52406">
      <w:pPr>
        <w:rPr>
          <w:rFonts w:cs="Times New Roman"/>
          <w:sz w:val="24"/>
        </w:rPr>
      </w:pPr>
      <w:r>
        <w:rPr>
          <w:rFonts w:cs="Times New Roman"/>
          <w:sz w:val="24"/>
        </w:rPr>
        <w:t>Most screening methods revolve around the idea of “what if” analyses. That is, how would the outputs change if the value of a selected input variable was changed? With large models, this exercise needs to be systematic to be useful. Factorial designs, for example, are used to measure the influence of input variables on the output by taking into account both additive effects and interactions. The design involves selecting combinations of input variable values that provide the most information on the relationships between input and output variables. However, with a factorial design and a large model, the number of model runs (</w:t>
      </w:r>
      <w:r w:rsidRPr="00385D82">
        <w:rPr>
          <w:rFonts w:cs="Times New Roman"/>
          <w:i/>
          <w:sz w:val="24"/>
        </w:rPr>
        <w:t>n</w:t>
      </w:r>
      <w:r w:rsidRPr="00385D82">
        <w:rPr>
          <w:rFonts w:cs="Times New Roman"/>
          <w:i/>
          <w:sz w:val="24"/>
          <w:vertAlign w:val="superscript"/>
        </w:rPr>
        <w:t>k</w:t>
      </w:r>
      <w:r>
        <w:rPr>
          <w:rFonts w:cs="Times New Roman"/>
          <w:sz w:val="24"/>
        </w:rPr>
        <w:t xml:space="preserve">, where </w:t>
      </w:r>
      <w:r>
        <w:rPr>
          <w:rFonts w:cs="Times New Roman"/>
          <w:i/>
          <w:sz w:val="24"/>
        </w:rPr>
        <w:t>k</w:t>
      </w:r>
      <w:r>
        <w:rPr>
          <w:rFonts w:cs="Times New Roman"/>
          <w:sz w:val="24"/>
        </w:rPr>
        <w:t xml:space="preserve"> is the number of input variables, and </w:t>
      </w:r>
      <w:r>
        <w:rPr>
          <w:rFonts w:cs="Times New Roman"/>
          <w:i/>
          <w:sz w:val="24"/>
        </w:rPr>
        <w:t xml:space="preserve">n </w:t>
      </w:r>
      <w:r>
        <w:rPr>
          <w:rFonts w:cs="Times New Roman"/>
          <w:sz w:val="24"/>
        </w:rPr>
        <w:t>is the number of levels for each variable) quickly becomes unmanageable. Given the complexity of the western gull risk model, this approach was infeasible for this assessment.</w:t>
      </w:r>
    </w:p>
    <w:p w:rsidR="00D52406" w:rsidRDefault="00D52406" w:rsidP="00D52406">
      <w:pPr>
        <w:rPr>
          <w:rFonts w:cs="Times New Roman"/>
          <w:sz w:val="24"/>
        </w:rPr>
      </w:pPr>
      <w:r>
        <w:rPr>
          <w:rFonts w:cs="Times New Roman"/>
          <w:sz w:val="24"/>
        </w:rPr>
        <w:t xml:space="preserve">One way to overcome the difficulties of a factorial design method is to set all input variable values to achieve the most likely response and only increase or decrease one input variable at a time (Cotter, 1979). The sensitivity </w:t>
      </w:r>
      <w:r w:rsidR="003658A6">
        <w:rPr>
          <w:rFonts w:cs="Times New Roman"/>
          <w:sz w:val="24"/>
        </w:rPr>
        <w:t xml:space="preserve">analyses </w:t>
      </w:r>
      <w:r>
        <w:rPr>
          <w:rFonts w:cs="Times New Roman"/>
          <w:sz w:val="24"/>
        </w:rPr>
        <w:t>for the western gull risk model</w:t>
      </w:r>
      <w:r w:rsidR="003658A6">
        <w:rPr>
          <w:rFonts w:cs="Times New Roman"/>
          <w:sz w:val="24"/>
        </w:rPr>
        <w:t>s</w:t>
      </w:r>
      <w:r>
        <w:rPr>
          <w:rFonts w:cs="Times New Roman"/>
          <w:sz w:val="24"/>
        </w:rPr>
        <w:t xml:space="preserve"> for brodifacoum </w:t>
      </w:r>
      <w:r w:rsidR="003658A6">
        <w:rPr>
          <w:rFonts w:cs="Times New Roman"/>
          <w:sz w:val="24"/>
        </w:rPr>
        <w:t xml:space="preserve">and diphacinone </w:t>
      </w:r>
      <w:r>
        <w:rPr>
          <w:rFonts w:cs="Times New Roman"/>
          <w:sz w:val="24"/>
        </w:rPr>
        <w:t xml:space="preserve">relied on “what if” analyses using </w:t>
      </w:r>
      <w:r w:rsidR="003658A6">
        <w:rPr>
          <w:rFonts w:cs="Times New Roman"/>
          <w:sz w:val="24"/>
        </w:rPr>
        <w:t xml:space="preserve">a </w:t>
      </w:r>
      <w:r>
        <w:rPr>
          <w:rFonts w:cs="Times New Roman"/>
          <w:sz w:val="24"/>
        </w:rPr>
        <w:t>“one-at-a-time” design. The baseline scenario</w:t>
      </w:r>
      <w:r w:rsidR="00736D20">
        <w:rPr>
          <w:rFonts w:cs="Times New Roman"/>
          <w:sz w:val="24"/>
        </w:rPr>
        <w:t>s for brodifacoum and diphacinone</w:t>
      </w:r>
      <w:r>
        <w:rPr>
          <w:rFonts w:cs="Times New Roman"/>
          <w:sz w:val="24"/>
        </w:rPr>
        <w:t xml:space="preserve"> </w:t>
      </w:r>
      <w:r w:rsidR="00736D20">
        <w:rPr>
          <w:rFonts w:cs="Times New Roman"/>
          <w:sz w:val="24"/>
        </w:rPr>
        <w:t>assumed</w:t>
      </w:r>
      <w:r>
        <w:rPr>
          <w:rFonts w:cs="Times New Roman"/>
          <w:sz w:val="24"/>
        </w:rPr>
        <w:t xml:space="preserve"> the </w:t>
      </w:r>
      <w:r w:rsidR="003658A6">
        <w:rPr>
          <w:rFonts w:cs="Times New Roman"/>
          <w:sz w:val="24"/>
        </w:rPr>
        <w:t>input</w:t>
      </w:r>
      <w:r>
        <w:rPr>
          <w:rFonts w:cs="Times New Roman"/>
          <w:sz w:val="24"/>
        </w:rPr>
        <w:t xml:space="preserve"> values in Table 3-1</w:t>
      </w:r>
      <w:r w:rsidR="003658A6">
        <w:rPr>
          <w:rFonts w:cs="Times New Roman"/>
          <w:sz w:val="24"/>
        </w:rPr>
        <w:t xml:space="preserve"> except for the variable being investigated</w:t>
      </w:r>
      <w:r>
        <w:rPr>
          <w:rFonts w:cs="Times New Roman"/>
          <w:sz w:val="24"/>
        </w:rPr>
        <w:t xml:space="preserve">. Each variable </w:t>
      </w:r>
      <w:r w:rsidR="003658A6">
        <w:rPr>
          <w:rFonts w:cs="Times New Roman"/>
          <w:sz w:val="24"/>
        </w:rPr>
        <w:t>being investigated</w:t>
      </w:r>
      <w:r>
        <w:rPr>
          <w:rFonts w:cs="Times New Roman"/>
          <w:sz w:val="24"/>
        </w:rPr>
        <w:t xml:space="preserve"> was altered one at a time to explore the influence </w:t>
      </w:r>
      <w:r w:rsidR="003658A6">
        <w:rPr>
          <w:rFonts w:cs="Times New Roman"/>
          <w:sz w:val="24"/>
        </w:rPr>
        <w:t xml:space="preserve">on </w:t>
      </w:r>
      <w:r>
        <w:rPr>
          <w:rFonts w:cs="Times New Roman"/>
          <w:sz w:val="24"/>
        </w:rPr>
        <w:t>the model outputs.</w:t>
      </w:r>
      <w:r w:rsidR="0039135E">
        <w:rPr>
          <w:rFonts w:cs="Times New Roman"/>
          <w:sz w:val="24"/>
        </w:rPr>
        <w:t xml:space="preserve"> The inputs values selected for the sensitivity analyses are listed in Table 5-1.</w:t>
      </w:r>
      <w:r w:rsidR="00867C5C">
        <w:rPr>
          <w:rFonts w:cs="Times New Roman"/>
          <w:sz w:val="24"/>
        </w:rPr>
        <w:t xml:space="preserve"> Some of these values </w:t>
      </w:r>
      <w:r w:rsidR="00E25C96">
        <w:rPr>
          <w:rFonts w:cs="Times New Roman"/>
          <w:sz w:val="24"/>
        </w:rPr>
        <w:t xml:space="preserve">could </w:t>
      </w:r>
      <w:r w:rsidR="00867C5C">
        <w:rPr>
          <w:rFonts w:cs="Times New Roman"/>
          <w:sz w:val="24"/>
        </w:rPr>
        <w:t>be adjusted in future model simulations as, for example</w:t>
      </w:r>
      <w:r w:rsidR="00E25C96">
        <w:rPr>
          <w:rFonts w:cs="Times New Roman"/>
          <w:sz w:val="24"/>
        </w:rPr>
        <w:t>,</w:t>
      </w:r>
      <w:r w:rsidR="00867C5C">
        <w:rPr>
          <w:rFonts w:cs="Times New Roman"/>
          <w:sz w:val="24"/>
        </w:rPr>
        <w:t xml:space="preserve"> new data become available.</w:t>
      </w:r>
    </w:p>
    <w:tbl>
      <w:tblPr>
        <w:tblStyle w:val="TableGrid"/>
        <w:tblW w:w="9606" w:type="dxa"/>
        <w:tblLook w:val="04A0" w:firstRow="1" w:lastRow="0" w:firstColumn="1" w:lastColumn="0" w:noHBand="0" w:noVBand="1"/>
      </w:tblPr>
      <w:tblGrid>
        <w:gridCol w:w="2235"/>
        <w:gridCol w:w="1984"/>
        <w:gridCol w:w="5387"/>
      </w:tblGrid>
      <w:tr w:rsidR="00D37AA4" w:rsidTr="00D37AA4">
        <w:trPr>
          <w:tblHeader/>
        </w:trPr>
        <w:tc>
          <w:tcPr>
            <w:tcW w:w="9606" w:type="dxa"/>
            <w:gridSpan w:val="3"/>
            <w:tcBorders>
              <w:top w:val="nil"/>
              <w:left w:val="nil"/>
              <w:right w:val="nil"/>
            </w:tcBorders>
          </w:tcPr>
          <w:p w:rsidR="00D37AA4" w:rsidRDefault="00D37AA4" w:rsidP="00D52406">
            <w:pPr>
              <w:rPr>
                <w:rFonts w:cs="Times New Roman"/>
                <w:sz w:val="24"/>
              </w:rPr>
            </w:pPr>
            <w:r w:rsidRPr="000B5A20">
              <w:rPr>
                <w:rFonts w:cs="Times New Roman"/>
                <w:b/>
                <w:sz w:val="24"/>
              </w:rPr>
              <w:t>Table 5-1. Values of input parameters varied in one at-a-time sensitivity analyses for western gull risk models for brodifacoum and diphacinone.</w:t>
            </w:r>
          </w:p>
        </w:tc>
      </w:tr>
      <w:tr w:rsidR="00D37AA4" w:rsidTr="00293812">
        <w:trPr>
          <w:tblHeader/>
        </w:trPr>
        <w:tc>
          <w:tcPr>
            <w:tcW w:w="2235" w:type="dxa"/>
            <w:vAlign w:val="center"/>
          </w:tcPr>
          <w:p w:rsidR="0027350D" w:rsidRDefault="00D239DD" w:rsidP="00771CF8">
            <w:pPr>
              <w:jc w:val="center"/>
              <w:rPr>
                <w:rFonts w:cs="Times New Roman"/>
                <w:b/>
              </w:rPr>
            </w:pPr>
            <w:r w:rsidRPr="00D239DD">
              <w:rPr>
                <w:rFonts w:cs="Times New Roman"/>
                <w:b/>
              </w:rPr>
              <w:t>Variable</w:t>
            </w:r>
          </w:p>
        </w:tc>
        <w:tc>
          <w:tcPr>
            <w:tcW w:w="1984" w:type="dxa"/>
            <w:vAlign w:val="center"/>
          </w:tcPr>
          <w:p w:rsidR="0027350D" w:rsidRDefault="00D239DD" w:rsidP="00771CF8">
            <w:pPr>
              <w:jc w:val="center"/>
              <w:rPr>
                <w:rFonts w:cs="Times New Roman"/>
                <w:b/>
              </w:rPr>
            </w:pPr>
            <w:r w:rsidRPr="00D239DD">
              <w:rPr>
                <w:rFonts w:cs="Times New Roman"/>
                <w:b/>
              </w:rPr>
              <w:t>Values</w:t>
            </w:r>
          </w:p>
        </w:tc>
        <w:tc>
          <w:tcPr>
            <w:tcW w:w="5387" w:type="dxa"/>
            <w:vAlign w:val="center"/>
          </w:tcPr>
          <w:p w:rsidR="0027350D" w:rsidRDefault="00D239DD" w:rsidP="00771CF8">
            <w:pPr>
              <w:jc w:val="center"/>
              <w:rPr>
                <w:rFonts w:cs="Times New Roman"/>
                <w:b/>
              </w:rPr>
            </w:pPr>
            <w:r w:rsidRPr="00D239DD">
              <w:rPr>
                <w:rFonts w:cs="Times New Roman"/>
                <w:b/>
              </w:rPr>
              <w:t>Notes</w:t>
            </w:r>
          </w:p>
        </w:tc>
      </w:tr>
      <w:tr w:rsidR="00D37AA4" w:rsidTr="00293812">
        <w:tc>
          <w:tcPr>
            <w:tcW w:w="2235" w:type="dxa"/>
            <w:vAlign w:val="center"/>
          </w:tcPr>
          <w:p w:rsidR="0027350D" w:rsidRDefault="00F636CE" w:rsidP="00771CF8">
            <w:pPr>
              <w:rPr>
                <w:rFonts w:cs="Times New Roman"/>
                <w:sz w:val="20"/>
                <w:szCs w:val="20"/>
              </w:rPr>
            </w:pPr>
            <w:r>
              <w:rPr>
                <w:rFonts w:cs="Times New Roman"/>
                <w:sz w:val="20"/>
                <w:szCs w:val="20"/>
              </w:rPr>
              <w:t>First a</w:t>
            </w:r>
            <w:r w:rsidR="00D239DD" w:rsidRPr="00D239DD">
              <w:rPr>
                <w:rFonts w:cs="Times New Roman"/>
                <w:sz w:val="20"/>
                <w:szCs w:val="20"/>
              </w:rPr>
              <w:t>pplication date</w:t>
            </w:r>
          </w:p>
        </w:tc>
        <w:tc>
          <w:tcPr>
            <w:tcW w:w="1984" w:type="dxa"/>
            <w:vAlign w:val="center"/>
          </w:tcPr>
          <w:p w:rsidR="0027350D" w:rsidRDefault="00A44896" w:rsidP="00771CF8">
            <w:pPr>
              <w:jc w:val="center"/>
              <w:rPr>
                <w:rFonts w:cs="Times New Roman"/>
                <w:sz w:val="20"/>
                <w:szCs w:val="20"/>
              </w:rPr>
            </w:pPr>
            <w:r>
              <w:rPr>
                <w:rFonts w:cs="Times New Roman"/>
                <w:sz w:val="20"/>
                <w:szCs w:val="20"/>
              </w:rPr>
              <w:t>Nov 1, 8, 15, 22, 29 and Dec 6, 13 and 20</w:t>
            </w:r>
          </w:p>
        </w:tc>
        <w:tc>
          <w:tcPr>
            <w:tcW w:w="5387" w:type="dxa"/>
            <w:vAlign w:val="center"/>
          </w:tcPr>
          <w:p w:rsidR="0027350D" w:rsidRDefault="00A44896" w:rsidP="00771CF8">
            <w:pPr>
              <w:rPr>
                <w:rFonts w:cs="Times New Roman"/>
                <w:sz w:val="20"/>
                <w:szCs w:val="20"/>
              </w:rPr>
            </w:pPr>
            <w:r>
              <w:rPr>
                <w:rFonts w:cs="Times New Roman"/>
                <w:sz w:val="20"/>
                <w:szCs w:val="20"/>
              </w:rPr>
              <w:t xml:space="preserve">This is the range of possible application dates being considered for </w:t>
            </w:r>
            <w:r w:rsidR="00BE7C91">
              <w:rPr>
                <w:rFonts w:cs="Times New Roman"/>
                <w:sz w:val="20"/>
                <w:szCs w:val="20"/>
              </w:rPr>
              <w:t>SFI</w:t>
            </w:r>
            <w:r>
              <w:rPr>
                <w:rFonts w:cs="Times New Roman"/>
                <w:sz w:val="20"/>
                <w:szCs w:val="20"/>
              </w:rPr>
              <w:t>.</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Applications interval - brodifacoum</w:t>
            </w:r>
          </w:p>
        </w:tc>
        <w:tc>
          <w:tcPr>
            <w:tcW w:w="1984" w:type="dxa"/>
            <w:vAlign w:val="center"/>
          </w:tcPr>
          <w:p w:rsidR="0027350D" w:rsidRDefault="00DF7EF5" w:rsidP="00771CF8">
            <w:pPr>
              <w:jc w:val="center"/>
              <w:rPr>
                <w:rFonts w:cs="Times New Roman"/>
                <w:sz w:val="20"/>
                <w:szCs w:val="20"/>
              </w:rPr>
            </w:pPr>
            <w:r>
              <w:rPr>
                <w:rFonts w:cs="Times New Roman"/>
                <w:sz w:val="20"/>
                <w:szCs w:val="20"/>
              </w:rPr>
              <w:t>5, 21</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 xml:space="preserve">Label does not permit intervals of &lt;5 days. </w:t>
            </w:r>
            <w:r w:rsidR="00771CF8">
              <w:rPr>
                <w:rFonts w:cs="Times New Roman"/>
                <w:sz w:val="20"/>
                <w:szCs w:val="20"/>
              </w:rPr>
              <w:t>An interval of 21 days or more will increase the likelihood that all individuals are exposed to the technique (Griffiths and Towns, 2008)</w:t>
            </w:r>
          </w:p>
        </w:tc>
      </w:tr>
      <w:tr w:rsidR="00FD1AAF" w:rsidTr="00293812">
        <w:tc>
          <w:tcPr>
            <w:tcW w:w="2235" w:type="dxa"/>
            <w:vAlign w:val="center"/>
          </w:tcPr>
          <w:p w:rsidR="00FD1AAF" w:rsidRDefault="00FD1AAF" w:rsidP="00771CF8">
            <w:pPr>
              <w:rPr>
                <w:rFonts w:cs="Times New Roman"/>
                <w:sz w:val="20"/>
                <w:szCs w:val="20"/>
              </w:rPr>
            </w:pPr>
            <w:r>
              <w:rPr>
                <w:rFonts w:cs="Times New Roman"/>
                <w:sz w:val="20"/>
                <w:szCs w:val="20"/>
              </w:rPr>
              <w:t>Application rate - diphacinone</w:t>
            </w:r>
          </w:p>
        </w:tc>
        <w:tc>
          <w:tcPr>
            <w:tcW w:w="1984" w:type="dxa"/>
            <w:vAlign w:val="center"/>
          </w:tcPr>
          <w:p w:rsidR="00FD1AAF" w:rsidRDefault="00FD1AAF" w:rsidP="00771CF8">
            <w:pPr>
              <w:jc w:val="center"/>
              <w:rPr>
                <w:rFonts w:cs="Times New Roman"/>
                <w:sz w:val="20"/>
                <w:szCs w:val="20"/>
              </w:rPr>
            </w:pPr>
            <w:r>
              <w:rPr>
                <w:rFonts w:cs="Times New Roman"/>
                <w:sz w:val="20"/>
                <w:szCs w:val="20"/>
              </w:rPr>
              <w:t>32, 48 kg bait/ha per application</w:t>
            </w:r>
          </w:p>
        </w:tc>
        <w:tc>
          <w:tcPr>
            <w:tcW w:w="5387" w:type="dxa"/>
            <w:vAlign w:val="center"/>
          </w:tcPr>
          <w:p w:rsidR="00FD1AAF" w:rsidRPr="00FD1AAF" w:rsidRDefault="00FD1AAF" w:rsidP="00771CF8">
            <w:pPr>
              <w:rPr>
                <w:rFonts w:cs="Times New Roman"/>
                <w:sz w:val="20"/>
                <w:szCs w:val="20"/>
              </w:rPr>
            </w:pPr>
            <w:r w:rsidRPr="00FD1AAF">
              <w:rPr>
                <w:rFonts w:cs="Times New Roman"/>
                <w:sz w:val="20"/>
                <w:szCs w:val="20"/>
              </w:rPr>
              <w:t>Application rate of 48 kg bait/ha is the current proposed rate for SFI whereas the rate of 32 kg bait/ha modeled elsewhere in this report is thought to be the minimum effective rate to ensure mouse eradication</w:t>
            </w:r>
            <w:r>
              <w:rPr>
                <w:rFonts w:cs="Times New Roman"/>
                <w:sz w:val="20"/>
                <w:szCs w:val="20"/>
              </w:rPr>
              <w:t>.</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Applications interval - diphacinone</w:t>
            </w:r>
          </w:p>
        </w:tc>
        <w:tc>
          <w:tcPr>
            <w:tcW w:w="1984" w:type="dxa"/>
            <w:vAlign w:val="center"/>
          </w:tcPr>
          <w:p w:rsidR="0027350D" w:rsidRDefault="00DF7EF5" w:rsidP="00771CF8">
            <w:pPr>
              <w:jc w:val="center"/>
              <w:rPr>
                <w:rFonts w:cs="Times New Roman"/>
                <w:sz w:val="20"/>
                <w:szCs w:val="20"/>
              </w:rPr>
            </w:pPr>
            <w:r>
              <w:rPr>
                <w:rFonts w:cs="Times New Roman"/>
                <w:sz w:val="20"/>
                <w:szCs w:val="20"/>
              </w:rPr>
              <w:t>3, 10</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No need for interval of less than &lt;3 days to ensure availability of pellets. Mice could recover if pellets not available for a period of time which suggests upper bound of 10 days.</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Number of applications - brodifacoum</w:t>
            </w:r>
          </w:p>
        </w:tc>
        <w:tc>
          <w:tcPr>
            <w:tcW w:w="1984" w:type="dxa"/>
            <w:vAlign w:val="center"/>
          </w:tcPr>
          <w:p w:rsidR="0027350D" w:rsidRDefault="00293812" w:rsidP="00771CF8">
            <w:pPr>
              <w:jc w:val="center"/>
              <w:rPr>
                <w:rFonts w:cs="Times New Roman"/>
                <w:sz w:val="20"/>
                <w:szCs w:val="20"/>
              </w:rPr>
            </w:pPr>
            <w:r>
              <w:rPr>
                <w:rFonts w:cs="Times New Roman"/>
                <w:sz w:val="20"/>
                <w:szCs w:val="20"/>
              </w:rPr>
              <w:t>1, 2</w:t>
            </w:r>
          </w:p>
        </w:tc>
        <w:tc>
          <w:tcPr>
            <w:tcW w:w="5387" w:type="dxa"/>
            <w:vAlign w:val="center"/>
          </w:tcPr>
          <w:p w:rsidR="0027350D" w:rsidRDefault="001D02DC" w:rsidP="00F3695B">
            <w:pPr>
              <w:rPr>
                <w:rFonts w:cs="Times New Roman"/>
                <w:sz w:val="20"/>
                <w:szCs w:val="20"/>
              </w:rPr>
            </w:pPr>
            <w:r>
              <w:rPr>
                <w:rFonts w:cs="Times New Roman"/>
                <w:sz w:val="20"/>
                <w:szCs w:val="20"/>
              </w:rPr>
              <w:t>2 applications is maximum indicated in FWS (</w:t>
            </w:r>
            <w:r w:rsidR="00F3695B">
              <w:rPr>
                <w:rFonts w:cs="Times New Roman"/>
                <w:sz w:val="20"/>
                <w:szCs w:val="20"/>
              </w:rPr>
              <w:t>2012</w:t>
            </w:r>
            <w:r>
              <w:rPr>
                <w:rFonts w:cs="Times New Roman"/>
                <w:sz w:val="20"/>
                <w:szCs w:val="20"/>
              </w:rPr>
              <w:t xml:space="preserve">). 1 application is likely to be ineffective at eradicating mice. </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Number of applications - diphacinone</w:t>
            </w:r>
          </w:p>
        </w:tc>
        <w:tc>
          <w:tcPr>
            <w:tcW w:w="1984" w:type="dxa"/>
            <w:vAlign w:val="center"/>
          </w:tcPr>
          <w:p w:rsidR="0027350D" w:rsidRDefault="00293812" w:rsidP="00771CF8">
            <w:pPr>
              <w:jc w:val="center"/>
              <w:rPr>
                <w:rFonts w:cs="Times New Roman"/>
                <w:sz w:val="20"/>
                <w:szCs w:val="20"/>
              </w:rPr>
            </w:pPr>
            <w:r>
              <w:rPr>
                <w:rFonts w:cs="Times New Roman"/>
                <w:sz w:val="20"/>
                <w:szCs w:val="20"/>
              </w:rPr>
              <w:t>1, 3</w:t>
            </w:r>
          </w:p>
        </w:tc>
        <w:tc>
          <w:tcPr>
            <w:tcW w:w="5387" w:type="dxa"/>
            <w:vAlign w:val="center"/>
          </w:tcPr>
          <w:p w:rsidR="0027350D" w:rsidRDefault="001D02DC" w:rsidP="00761003">
            <w:pPr>
              <w:rPr>
                <w:rFonts w:cs="Times New Roman"/>
                <w:sz w:val="20"/>
                <w:szCs w:val="20"/>
              </w:rPr>
            </w:pPr>
            <w:r>
              <w:rPr>
                <w:rFonts w:cs="Times New Roman"/>
                <w:sz w:val="20"/>
                <w:szCs w:val="20"/>
              </w:rPr>
              <w:t>3 applications is maximum indicated by Island Conservation. 1 application is likely to be ineffective at eradicating mice.</w:t>
            </w:r>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Hazing effectiveness</w:t>
            </w:r>
          </w:p>
        </w:tc>
        <w:tc>
          <w:tcPr>
            <w:tcW w:w="1984" w:type="dxa"/>
            <w:vAlign w:val="center"/>
          </w:tcPr>
          <w:p w:rsidR="0027350D" w:rsidRDefault="006C274B" w:rsidP="009849A4">
            <w:pPr>
              <w:jc w:val="center"/>
              <w:rPr>
                <w:rFonts w:cs="Times New Roman"/>
                <w:sz w:val="20"/>
                <w:szCs w:val="20"/>
              </w:rPr>
            </w:pPr>
            <w:r>
              <w:rPr>
                <w:rFonts w:cs="Times New Roman"/>
                <w:sz w:val="20"/>
                <w:szCs w:val="20"/>
              </w:rPr>
              <w:t>0.</w:t>
            </w:r>
            <w:r w:rsidR="009849A4">
              <w:rPr>
                <w:rFonts w:cs="Times New Roman"/>
                <w:sz w:val="20"/>
                <w:szCs w:val="20"/>
              </w:rPr>
              <w:t>75</w:t>
            </w:r>
            <w:r>
              <w:rPr>
                <w:rFonts w:cs="Times New Roman"/>
                <w:sz w:val="20"/>
                <w:szCs w:val="20"/>
              </w:rPr>
              <w:t>, 0.98</w:t>
            </w:r>
          </w:p>
        </w:tc>
        <w:tc>
          <w:tcPr>
            <w:tcW w:w="5387" w:type="dxa"/>
            <w:vAlign w:val="center"/>
          </w:tcPr>
          <w:p w:rsidR="0027350D" w:rsidRDefault="006C274B" w:rsidP="00771CF8">
            <w:pPr>
              <w:rPr>
                <w:rFonts w:cs="Times New Roman"/>
                <w:sz w:val="20"/>
                <w:szCs w:val="20"/>
              </w:rPr>
            </w:pPr>
            <w:r>
              <w:rPr>
                <w:rFonts w:cs="Times New Roman"/>
                <w:sz w:val="20"/>
                <w:szCs w:val="20"/>
              </w:rPr>
              <w:t>Range suggested by Island Conservation</w:t>
            </w:r>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Pellet half life (1</w:t>
            </w:r>
            <w:r w:rsidR="00D239DD" w:rsidRPr="00D239DD">
              <w:rPr>
                <w:rFonts w:cs="Times New Roman"/>
                <w:sz w:val="20"/>
                <w:szCs w:val="20"/>
                <w:vertAlign w:val="superscript"/>
              </w:rPr>
              <w:t>st</w:t>
            </w:r>
            <w:r>
              <w:rPr>
                <w:rFonts w:cs="Times New Roman"/>
                <w:sz w:val="20"/>
                <w:szCs w:val="20"/>
              </w:rPr>
              <w:t xml:space="preserve"> application)</w:t>
            </w:r>
          </w:p>
        </w:tc>
        <w:tc>
          <w:tcPr>
            <w:tcW w:w="1984" w:type="dxa"/>
            <w:vAlign w:val="center"/>
          </w:tcPr>
          <w:p w:rsidR="0027350D" w:rsidRDefault="006C274B" w:rsidP="00771CF8">
            <w:pPr>
              <w:jc w:val="center"/>
              <w:rPr>
                <w:rFonts w:cs="Times New Roman"/>
                <w:sz w:val="20"/>
                <w:szCs w:val="20"/>
              </w:rPr>
            </w:pPr>
            <w:r>
              <w:rPr>
                <w:rFonts w:cs="Times New Roman"/>
                <w:sz w:val="20"/>
                <w:szCs w:val="20"/>
              </w:rPr>
              <w:t>0.5, 2 days</w:t>
            </w:r>
          </w:p>
        </w:tc>
        <w:tc>
          <w:tcPr>
            <w:tcW w:w="5387" w:type="dxa"/>
            <w:vAlign w:val="center"/>
          </w:tcPr>
          <w:p w:rsidR="0027350D" w:rsidRDefault="00F3695B" w:rsidP="00F3695B">
            <w:pPr>
              <w:rPr>
                <w:rFonts w:cs="Times New Roman"/>
                <w:sz w:val="20"/>
                <w:szCs w:val="20"/>
              </w:rPr>
            </w:pPr>
            <w:r>
              <w:rPr>
                <w:rFonts w:cs="Times New Roman"/>
                <w:sz w:val="20"/>
                <w:szCs w:val="20"/>
              </w:rPr>
              <w:t xml:space="preserve">2010 </w:t>
            </w:r>
            <w:r w:rsidR="00BE7C91">
              <w:rPr>
                <w:rFonts w:cs="Times New Roman"/>
                <w:sz w:val="20"/>
                <w:szCs w:val="20"/>
              </w:rPr>
              <w:t>SFI</w:t>
            </w:r>
            <w:r>
              <w:rPr>
                <w:rFonts w:cs="Times New Roman"/>
                <w:sz w:val="20"/>
                <w:szCs w:val="20"/>
              </w:rPr>
              <w:t xml:space="preserve"> </w:t>
            </w:r>
            <w:r w:rsidR="006C274B">
              <w:rPr>
                <w:rFonts w:cs="Times New Roman"/>
                <w:sz w:val="20"/>
                <w:szCs w:val="20"/>
              </w:rPr>
              <w:t>field trial and available literature indicate this approximate range.</w:t>
            </w:r>
          </w:p>
        </w:tc>
      </w:tr>
      <w:tr w:rsidR="00D37AA4" w:rsidTr="00293812">
        <w:tc>
          <w:tcPr>
            <w:tcW w:w="2235" w:type="dxa"/>
            <w:vAlign w:val="center"/>
          </w:tcPr>
          <w:p w:rsidR="0027350D" w:rsidRDefault="00B25E0B" w:rsidP="00771CF8">
            <w:pPr>
              <w:rPr>
                <w:rFonts w:cs="Times New Roman"/>
                <w:sz w:val="20"/>
                <w:szCs w:val="20"/>
              </w:rPr>
            </w:pPr>
            <w:r>
              <w:rPr>
                <w:rFonts w:cs="Times New Roman"/>
                <w:sz w:val="20"/>
                <w:szCs w:val="20"/>
              </w:rPr>
              <w:t>Time to significant rainfall event after 2</w:t>
            </w:r>
            <w:r w:rsidR="00D239DD" w:rsidRPr="00D239DD">
              <w:rPr>
                <w:rFonts w:cs="Times New Roman"/>
                <w:sz w:val="20"/>
                <w:szCs w:val="20"/>
                <w:vertAlign w:val="superscript"/>
              </w:rPr>
              <w:t>nd</w:t>
            </w:r>
            <w:r>
              <w:rPr>
                <w:rFonts w:cs="Times New Roman"/>
                <w:sz w:val="20"/>
                <w:szCs w:val="20"/>
              </w:rPr>
              <w:t xml:space="preserve"> application</w:t>
            </w:r>
          </w:p>
        </w:tc>
        <w:tc>
          <w:tcPr>
            <w:tcW w:w="1984" w:type="dxa"/>
            <w:vAlign w:val="center"/>
          </w:tcPr>
          <w:p w:rsidR="0027350D" w:rsidRDefault="00B25E0B" w:rsidP="00771CF8">
            <w:pPr>
              <w:jc w:val="center"/>
              <w:rPr>
                <w:rFonts w:cs="Times New Roman"/>
                <w:sz w:val="20"/>
                <w:szCs w:val="20"/>
              </w:rPr>
            </w:pPr>
            <w:r>
              <w:rPr>
                <w:rFonts w:cs="Times New Roman"/>
                <w:sz w:val="20"/>
                <w:szCs w:val="20"/>
              </w:rPr>
              <w:t>4, 117 days</w:t>
            </w:r>
          </w:p>
        </w:tc>
        <w:tc>
          <w:tcPr>
            <w:tcW w:w="5387" w:type="dxa"/>
            <w:vAlign w:val="center"/>
          </w:tcPr>
          <w:p w:rsidR="0027350D" w:rsidRDefault="00B25E0B" w:rsidP="00771CF8">
            <w:pPr>
              <w:rPr>
                <w:rFonts w:cs="Times New Roman"/>
                <w:sz w:val="20"/>
                <w:szCs w:val="20"/>
              </w:rPr>
            </w:pPr>
            <w:r>
              <w:rPr>
                <w:sz w:val="20"/>
                <w:szCs w:val="20"/>
              </w:rPr>
              <w:t>T</w:t>
            </w:r>
            <w:r w:rsidRPr="00061AED">
              <w:rPr>
                <w:sz w:val="20"/>
                <w:szCs w:val="20"/>
              </w:rPr>
              <w:t xml:space="preserve">ime to median significant rainfall </w:t>
            </w:r>
            <w:r>
              <w:rPr>
                <w:sz w:val="20"/>
                <w:szCs w:val="20"/>
              </w:rPr>
              <w:t xml:space="preserve">at </w:t>
            </w:r>
            <w:r w:rsidR="00BE7C91">
              <w:rPr>
                <w:sz w:val="20"/>
                <w:szCs w:val="20"/>
              </w:rPr>
              <w:t>SFI</w:t>
            </w:r>
            <w:r>
              <w:rPr>
                <w:sz w:val="20"/>
                <w:szCs w:val="20"/>
              </w:rPr>
              <w:t xml:space="preserve"> </w:t>
            </w:r>
            <w:r w:rsidRPr="00061AED">
              <w:rPr>
                <w:sz w:val="20"/>
                <w:szCs w:val="20"/>
              </w:rPr>
              <w:t>(2" in 3 d</w:t>
            </w:r>
            <w:r>
              <w:rPr>
                <w:sz w:val="20"/>
                <w:szCs w:val="20"/>
              </w:rPr>
              <w:t>ays</w:t>
            </w:r>
            <w:r w:rsidRPr="00061AED">
              <w:rPr>
                <w:sz w:val="20"/>
                <w:szCs w:val="20"/>
              </w:rPr>
              <w:t>) is 28 days</w:t>
            </w:r>
            <w:r>
              <w:rPr>
                <w:sz w:val="20"/>
                <w:szCs w:val="20"/>
              </w:rPr>
              <w:t>. Best and worst case scenarios are 4 and 117 days, respectively given available rainfall data from 1972-2010.</w:t>
            </w:r>
          </w:p>
        </w:tc>
      </w:tr>
      <w:tr w:rsidR="00D37AA4" w:rsidTr="00293812">
        <w:tc>
          <w:tcPr>
            <w:tcW w:w="2235" w:type="dxa"/>
            <w:vAlign w:val="center"/>
          </w:tcPr>
          <w:p w:rsidR="0027350D" w:rsidRDefault="005E54DA" w:rsidP="00771CF8">
            <w:pPr>
              <w:rPr>
                <w:rFonts w:cs="Times New Roman"/>
                <w:sz w:val="20"/>
                <w:szCs w:val="20"/>
              </w:rPr>
            </w:pPr>
            <w:r>
              <w:rPr>
                <w:rFonts w:cs="Times New Roman"/>
                <w:sz w:val="20"/>
                <w:szCs w:val="20"/>
              </w:rPr>
              <w:t>Time to pellet removal after rainfall event</w:t>
            </w:r>
          </w:p>
        </w:tc>
        <w:tc>
          <w:tcPr>
            <w:tcW w:w="1984" w:type="dxa"/>
            <w:vAlign w:val="center"/>
          </w:tcPr>
          <w:p w:rsidR="0027350D" w:rsidRDefault="005E54DA" w:rsidP="00771CF8">
            <w:pPr>
              <w:jc w:val="center"/>
              <w:rPr>
                <w:rFonts w:cs="Times New Roman"/>
                <w:sz w:val="20"/>
                <w:szCs w:val="20"/>
              </w:rPr>
            </w:pPr>
            <w:r>
              <w:rPr>
                <w:rFonts w:cs="Times New Roman"/>
                <w:sz w:val="20"/>
                <w:szCs w:val="20"/>
              </w:rPr>
              <w:t>2, 7 days</w:t>
            </w:r>
          </w:p>
        </w:tc>
        <w:tc>
          <w:tcPr>
            <w:tcW w:w="5387" w:type="dxa"/>
            <w:vAlign w:val="center"/>
          </w:tcPr>
          <w:p w:rsidR="0027350D" w:rsidRDefault="005E54DA" w:rsidP="00771CF8">
            <w:pPr>
              <w:rPr>
                <w:rFonts w:cs="Times New Roman"/>
                <w:sz w:val="20"/>
                <w:szCs w:val="20"/>
              </w:rPr>
            </w:pPr>
            <w:r w:rsidRPr="00061AED">
              <w:rPr>
                <w:sz w:val="20"/>
                <w:szCs w:val="20"/>
              </w:rPr>
              <w:t>Pellets generally degrade within 2-7 days of a significant rainfall event.</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Mean concentration in mice - brodifacoum</w:t>
            </w:r>
          </w:p>
        </w:tc>
        <w:tc>
          <w:tcPr>
            <w:tcW w:w="1984" w:type="dxa"/>
            <w:vAlign w:val="center"/>
          </w:tcPr>
          <w:p w:rsidR="0027350D" w:rsidRDefault="008E52E1" w:rsidP="00771CF8">
            <w:pPr>
              <w:jc w:val="center"/>
              <w:rPr>
                <w:rFonts w:cs="Times New Roman"/>
                <w:sz w:val="20"/>
                <w:szCs w:val="20"/>
              </w:rPr>
            </w:pPr>
            <w:r>
              <w:rPr>
                <w:rFonts w:cs="Times New Roman"/>
                <w:sz w:val="20"/>
                <w:szCs w:val="20"/>
              </w:rPr>
              <w:t>2.71, 4.9 mg/kg bw</w:t>
            </w:r>
          </w:p>
        </w:tc>
        <w:tc>
          <w:tcPr>
            <w:tcW w:w="5387" w:type="dxa"/>
            <w:vAlign w:val="center"/>
          </w:tcPr>
          <w:p w:rsidR="0027350D" w:rsidRDefault="008E52E1" w:rsidP="00771CF8">
            <w:pPr>
              <w:rPr>
                <w:rFonts w:cs="Times New Roman"/>
                <w:sz w:val="20"/>
                <w:szCs w:val="20"/>
              </w:rPr>
            </w:pPr>
            <w:r>
              <w:rPr>
                <w:rFonts w:cs="Times New Roman"/>
                <w:sz w:val="20"/>
                <w:szCs w:val="20"/>
              </w:rPr>
              <w:t>Range cited in Howald et al. (1999, 2001). Standard deviation adjusted to ensure same coefficient of variation.</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Mean concentration in mice - diphacinone</w:t>
            </w:r>
          </w:p>
        </w:tc>
        <w:tc>
          <w:tcPr>
            <w:tcW w:w="1984" w:type="dxa"/>
            <w:vAlign w:val="center"/>
          </w:tcPr>
          <w:p w:rsidR="0027350D" w:rsidRDefault="008E52E1" w:rsidP="00771CF8">
            <w:pPr>
              <w:jc w:val="center"/>
              <w:rPr>
                <w:rFonts w:cs="Times New Roman"/>
                <w:sz w:val="20"/>
                <w:szCs w:val="20"/>
              </w:rPr>
            </w:pPr>
            <w:r>
              <w:rPr>
                <w:rFonts w:cs="Times New Roman"/>
                <w:sz w:val="20"/>
                <w:szCs w:val="20"/>
              </w:rPr>
              <w:t>30, 51.5 mg/kg bw</w:t>
            </w:r>
          </w:p>
        </w:tc>
        <w:tc>
          <w:tcPr>
            <w:tcW w:w="5387" w:type="dxa"/>
            <w:vAlign w:val="center"/>
          </w:tcPr>
          <w:p w:rsidR="0027350D" w:rsidRDefault="008E52E1" w:rsidP="00771CF8">
            <w:pPr>
              <w:rPr>
                <w:rFonts w:cs="Times New Roman"/>
                <w:sz w:val="20"/>
                <w:szCs w:val="20"/>
              </w:rPr>
            </w:pPr>
            <w:r>
              <w:rPr>
                <w:rFonts w:cs="Times New Roman"/>
                <w:sz w:val="20"/>
                <w:szCs w:val="20"/>
              </w:rPr>
              <w:t>Upper value is upper bound calculated from Pitt et al. (2011). Lower value is somewhat arbitrary but approximately the lower bound value if there was some initial rapid elimination of diphacinone from the exposed mice in Pitt et al. (2011) study.</w:t>
            </w:r>
          </w:p>
        </w:tc>
      </w:tr>
      <w:tr w:rsidR="00D37AA4"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m</w:t>
            </w:r>
            <w:r w:rsidRPr="00B61F76">
              <w:rPr>
                <w:rFonts w:cs="Times New Roman"/>
                <w:sz w:val="20"/>
                <w:szCs w:val="20"/>
              </w:rPr>
              <w:t>ice</w:t>
            </w:r>
          </w:p>
        </w:tc>
        <w:tc>
          <w:tcPr>
            <w:tcW w:w="1984" w:type="dxa"/>
            <w:vAlign w:val="center"/>
          </w:tcPr>
          <w:p w:rsidR="0027350D" w:rsidRDefault="00B61F76" w:rsidP="00771CF8">
            <w:pPr>
              <w:jc w:val="center"/>
              <w:rPr>
                <w:rFonts w:cs="Times New Roman"/>
                <w:sz w:val="20"/>
                <w:szCs w:val="20"/>
              </w:rPr>
            </w:pPr>
            <w:r>
              <w:rPr>
                <w:rFonts w:cs="Times New Roman"/>
                <w:sz w:val="20"/>
                <w:szCs w:val="20"/>
              </w:rPr>
              <w:t>0.01, 0.15</w:t>
            </w:r>
          </w:p>
        </w:tc>
        <w:tc>
          <w:tcPr>
            <w:tcW w:w="5387" w:type="dxa"/>
            <w:vAlign w:val="center"/>
          </w:tcPr>
          <w:p w:rsidR="0027350D" w:rsidRDefault="00B61F76" w:rsidP="00771CF8">
            <w:pPr>
              <w:rPr>
                <w:rFonts w:cs="Times New Roman"/>
                <w:sz w:val="20"/>
                <w:szCs w:val="20"/>
              </w:rPr>
            </w:pPr>
            <w:r>
              <w:rPr>
                <w:rFonts w:cs="Times New Roman"/>
                <w:sz w:val="20"/>
                <w:szCs w:val="20"/>
              </w:rPr>
              <w:t>Lower value reflects fact that mice are not normally part of the western gull diet. Upper value is arbitrary but kept generally low because gulls normally feed on other food items.</w:t>
            </w:r>
          </w:p>
        </w:tc>
      </w:tr>
      <w:tr w:rsidR="00B61F76"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pellets</w:t>
            </w:r>
          </w:p>
        </w:tc>
        <w:tc>
          <w:tcPr>
            <w:tcW w:w="1984" w:type="dxa"/>
            <w:vAlign w:val="center"/>
          </w:tcPr>
          <w:p w:rsidR="00B61F76" w:rsidRPr="00A44896" w:rsidRDefault="00B61F76" w:rsidP="00771CF8">
            <w:pPr>
              <w:jc w:val="center"/>
              <w:rPr>
                <w:rFonts w:cs="Times New Roman"/>
                <w:sz w:val="20"/>
                <w:szCs w:val="20"/>
              </w:rPr>
            </w:pPr>
            <w:r>
              <w:rPr>
                <w:rFonts w:cs="Times New Roman"/>
                <w:sz w:val="20"/>
                <w:szCs w:val="20"/>
              </w:rPr>
              <w:t>0.22, 0.25</w:t>
            </w:r>
          </w:p>
        </w:tc>
        <w:tc>
          <w:tcPr>
            <w:tcW w:w="5387" w:type="dxa"/>
            <w:vAlign w:val="center"/>
          </w:tcPr>
          <w:p w:rsidR="00B61F76" w:rsidRPr="00A44896" w:rsidRDefault="00FF7AAF" w:rsidP="009849A4">
            <w:pPr>
              <w:rPr>
                <w:rFonts w:cs="Times New Roman"/>
                <w:sz w:val="20"/>
                <w:szCs w:val="20"/>
              </w:rPr>
            </w:pPr>
            <w:r w:rsidRPr="00FF7AAF">
              <w:rPr>
                <w:rFonts w:cs="Times New Roman"/>
                <w:sz w:val="20"/>
                <w:szCs w:val="20"/>
              </w:rPr>
              <w:t>Highest average rate suggested by data collected during 2010 SFI field trial. Initial daily rates are much lower, ranging from 0 to 29% during first five days</w:t>
            </w:r>
            <w:r w:rsidR="009849A4">
              <w:rPr>
                <w:rFonts w:cs="Times New Roman"/>
                <w:sz w:val="20"/>
                <w:szCs w:val="20"/>
              </w:rPr>
              <w:t>.</w:t>
            </w:r>
          </w:p>
        </w:tc>
      </w:tr>
      <w:tr w:rsidR="00CC2C63" w:rsidTr="00CC2C63">
        <w:tc>
          <w:tcPr>
            <w:tcW w:w="2235" w:type="dxa"/>
          </w:tcPr>
          <w:p w:rsidR="0027350D" w:rsidRDefault="00076970" w:rsidP="009849A4">
            <w:pPr>
              <w:rPr>
                <w:rFonts w:cs="Times New Roman"/>
                <w:sz w:val="20"/>
                <w:szCs w:val="20"/>
              </w:rPr>
            </w:pPr>
            <w:r>
              <w:t>Conditional probability</w:t>
            </w:r>
            <w:r w:rsidR="00CC2C63" w:rsidRPr="00B767D8">
              <w:t xml:space="preserve"> for </w:t>
            </w:r>
            <w:r w:rsidR="00CC2C63">
              <w:t>c</w:t>
            </w:r>
            <w:r w:rsidR="00CC2C63" w:rsidRPr="00B767D8">
              <w:t xml:space="preserve">onsuming </w:t>
            </w:r>
            <w:r w:rsidR="00CC2C63">
              <w:t>pellets</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restart"/>
            <w:vAlign w:val="center"/>
          </w:tcPr>
          <w:p w:rsidR="0027350D" w:rsidRDefault="00CC2C63" w:rsidP="00771CF8">
            <w:pPr>
              <w:rPr>
                <w:rFonts w:cs="Times New Roman"/>
                <w:sz w:val="20"/>
                <w:szCs w:val="20"/>
              </w:rPr>
            </w:pPr>
            <w:r>
              <w:rPr>
                <w:rFonts w:cs="Times New Roman"/>
                <w:sz w:val="20"/>
                <w:szCs w:val="20"/>
              </w:rPr>
              <w:t xml:space="preserve">Observational data from 2010 </w:t>
            </w:r>
            <w:r w:rsidR="00BE7C91">
              <w:rPr>
                <w:rFonts w:cs="Times New Roman"/>
                <w:sz w:val="20"/>
                <w:szCs w:val="20"/>
              </w:rPr>
              <w:t>SFI</w:t>
            </w:r>
            <w:r>
              <w:rPr>
                <w:rFonts w:cs="Times New Roman"/>
                <w:sz w:val="20"/>
                <w:szCs w:val="20"/>
              </w:rPr>
              <w:t xml:space="preserve"> field trial suggest that once a gull learns that pellets are a food source, they will continue to consume them as long as they are available. No data are available to quantify this variable and thus a wide range was selected. The same rationale was used for </w:t>
            </w:r>
            <w:r w:rsidR="00FF7AAF" w:rsidRPr="00FF7AAF">
              <w:rPr>
                <w:rFonts w:cs="Times New Roman"/>
                <w:sz w:val="20"/>
                <w:szCs w:val="20"/>
              </w:rPr>
              <w:t>consumption</w:t>
            </w:r>
            <w:r>
              <w:rPr>
                <w:rFonts w:cs="Times New Roman"/>
                <w:sz w:val="20"/>
                <w:szCs w:val="20"/>
              </w:rPr>
              <w:t xml:space="preserve"> of mice.</w:t>
            </w:r>
          </w:p>
        </w:tc>
      </w:tr>
      <w:tr w:rsidR="00CC2C63" w:rsidTr="00CC2C63">
        <w:tc>
          <w:tcPr>
            <w:tcW w:w="2235" w:type="dxa"/>
          </w:tcPr>
          <w:p w:rsidR="00CC2C63" w:rsidRPr="00A44896" w:rsidRDefault="00076970" w:rsidP="009849A4">
            <w:pPr>
              <w:rPr>
                <w:rFonts w:cs="Times New Roman"/>
                <w:sz w:val="20"/>
                <w:szCs w:val="20"/>
              </w:rPr>
            </w:pPr>
            <w:r>
              <w:t>Conditional probability</w:t>
            </w:r>
            <w:r w:rsidR="00CC2C63" w:rsidRPr="00B767D8">
              <w:t xml:space="preserve"> for </w:t>
            </w:r>
            <w:r w:rsidR="00CC2C63">
              <w:t>c</w:t>
            </w:r>
            <w:r w:rsidR="00CC2C63" w:rsidRPr="00B767D8">
              <w:t xml:space="preserve">onsuming </w:t>
            </w:r>
            <w:r w:rsidR="00CC2C63">
              <w:t>m</w:t>
            </w:r>
            <w:r w:rsidR="00CC2C63" w:rsidRPr="00B767D8">
              <w:t>ice</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ign w:val="center"/>
          </w:tcPr>
          <w:p w:rsidR="00CC2C63" w:rsidRPr="00A44896" w:rsidRDefault="00CC2C63" w:rsidP="00771CF8">
            <w:pPr>
              <w:rPr>
                <w:rFonts w:cs="Times New Roman"/>
                <w:sz w:val="20"/>
                <w:szCs w:val="20"/>
              </w:rPr>
            </w:pPr>
          </w:p>
        </w:tc>
      </w:tr>
      <w:tr w:rsidR="00D37AA4" w:rsidTr="00293812">
        <w:tc>
          <w:tcPr>
            <w:tcW w:w="2235" w:type="dxa"/>
            <w:vAlign w:val="center"/>
          </w:tcPr>
          <w:p w:rsidR="0027350D" w:rsidRDefault="001957FD" w:rsidP="00771CF8">
            <w:pPr>
              <w:rPr>
                <w:rFonts w:cs="Times New Roman"/>
                <w:sz w:val="20"/>
                <w:szCs w:val="20"/>
              </w:rPr>
            </w:pPr>
            <w:r>
              <w:rPr>
                <w:rFonts w:cs="Times New Roman"/>
                <w:sz w:val="20"/>
                <w:szCs w:val="20"/>
              </w:rPr>
              <w:t>Proportion of intoxicated mice below ground</w:t>
            </w:r>
          </w:p>
        </w:tc>
        <w:tc>
          <w:tcPr>
            <w:tcW w:w="1984" w:type="dxa"/>
            <w:vAlign w:val="center"/>
          </w:tcPr>
          <w:p w:rsidR="0027350D" w:rsidRDefault="001957FD" w:rsidP="00771CF8">
            <w:pPr>
              <w:jc w:val="center"/>
              <w:rPr>
                <w:rFonts w:cs="Times New Roman"/>
                <w:sz w:val="20"/>
                <w:szCs w:val="20"/>
              </w:rPr>
            </w:pPr>
            <w:r>
              <w:rPr>
                <w:rFonts w:cs="Times New Roman"/>
                <w:sz w:val="20"/>
                <w:szCs w:val="20"/>
              </w:rPr>
              <w:t>0.87, 1 (brodifacoum)</w:t>
            </w:r>
          </w:p>
          <w:p w:rsidR="0027350D" w:rsidRDefault="001957FD" w:rsidP="00771CF8">
            <w:pPr>
              <w:jc w:val="center"/>
              <w:rPr>
                <w:rFonts w:cs="Times New Roman"/>
                <w:sz w:val="20"/>
                <w:szCs w:val="20"/>
              </w:rPr>
            </w:pPr>
            <w:r>
              <w:rPr>
                <w:rFonts w:cs="Times New Roman"/>
                <w:sz w:val="20"/>
                <w:szCs w:val="20"/>
              </w:rPr>
              <w:t>0, 1 (diphacinone)</w:t>
            </w:r>
          </w:p>
        </w:tc>
        <w:tc>
          <w:tcPr>
            <w:tcW w:w="5387" w:type="dxa"/>
            <w:vAlign w:val="center"/>
          </w:tcPr>
          <w:p w:rsidR="0027350D" w:rsidRDefault="001957FD" w:rsidP="00771CF8">
            <w:pPr>
              <w:rPr>
                <w:rFonts w:cs="Times New Roman"/>
                <w:sz w:val="20"/>
                <w:szCs w:val="20"/>
              </w:rPr>
            </w:pPr>
            <w:r>
              <w:rPr>
                <w:rFonts w:cs="Times New Roman"/>
                <w:sz w:val="20"/>
                <w:szCs w:val="20"/>
              </w:rPr>
              <w:t>Data from literature suggests that at least 87% of brodifacoum-intoxicated mice will go below ground. No comparable information is available for diphacinone.</w:t>
            </w:r>
          </w:p>
        </w:tc>
      </w:tr>
      <w:tr w:rsidR="00D37AA4" w:rsidTr="00293812">
        <w:tc>
          <w:tcPr>
            <w:tcW w:w="2235" w:type="dxa"/>
            <w:vAlign w:val="center"/>
          </w:tcPr>
          <w:p w:rsidR="0027350D" w:rsidRDefault="001957FD" w:rsidP="00771CF8">
            <w:pPr>
              <w:rPr>
                <w:rFonts w:cs="Times New Roman"/>
                <w:sz w:val="20"/>
                <w:szCs w:val="20"/>
              </w:rPr>
            </w:pPr>
            <w:r>
              <w:rPr>
                <w:rFonts w:cs="Times New Roman"/>
                <w:sz w:val="20"/>
                <w:szCs w:val="20"/>
              </w:rPr>
              <w:t>LD50 - brodifacoum</w:t>
            </w:r>
          </w:p>
        </w:tc>
        <w:tc>
          <w:tcPr>
            <w:tcW w:w="1984" w:type="dxa"/>
            <w:vAlign w:val="center"/>
          </w:tcPr>
          <w:p w:rsidR="0027350D" w:rsidRDefault="001957FD" w:rsidP="00771CF8">
            <w:pPr>
              <w:jc w:val="center"/>
              <w:rPr>
                <w:rFonts w:cs="Times New Roman"/>
                <w:sz w:val="20"/>
                <w:szCs w:val="20"/>
              </w:rPr>
            </w:pPr>
            <w:r>
              <w:rPr>
                <w:rFonts w:cs="Times New Roman"/>
                <w:sz w:val="20"/>
                <w:szCs w:val="20"/>
              </w:rPr>
              <w:t>0.588, 5 mg/kg bw</w:t>
            </w:r>
          </w:p>
        </w:tc>
        <w:tc>
          <w:tcPr>
            <w:tcW w:w="5387" w:type="dxa"/>
            <w:vAlign w:val="center"/>
          </w:tcPr>
          <w:p w:rsidR="0027350D" w:rsidRDefault="001957FD" w:rsidP="00771CF8">
            <w:pPr>
              <w:rPr>
                <w:rFonts w:cs="Times New Roman"/>
                <w:sz w:val="20"/>
                <w:szCs w:val="20"/>
              </w:rPr>
            </w:pPr>
            <w:r>
              <w:rPr>
                <w:rFonts w:cs="Times New Roman"/>
                <w:sz w:val="20"/>
                <w:szCs w:val="20"/>
              </w:rPr>
              <w:t>Toxicity studies available for gull species indicate a range of 0.588 to &lt;5 mg/kg bw (Wildlife International, 1979a</w:t>
            </w:r>
            <w:proofErr w:type="gramStart"/>
            <w:r>
              <w:rPr>
                <w:rFonts w:cs="Times New Roman"/>
                <w:sz w:val="20"/>
                <w:szCs w:val="20"/>
              </w:rPr>
              <w:t>,b</w:t>
            </w:r>
            <w:proofErr w:type="gramEnd"/>
            <w:r>
              <w:rPr>
                <w:rFonts w:cs="Times New Roman"/>
                <w:sz w:val="20"/>
                <w:szCs w:val="20"/>
              </w:rPr>
              <w:t>; Godfrey, 1985, 1986).</w:t>
            </w:r>
          </w:p>
        </w:tc>
      </w:tr>
      <w:tr w:rsidR="001957FD" w:rsidTr="00293812">
        <w:tc>
          <w:tcPr>
            <w:tcW w:w="2235" w:type="dxa"/>
            <w:vAlign w:val="center"/>
          </w:tcPr>
          <w:p w:rsidR="001957FD" w:rsidRPr="00A44896" w:rsidRDefault="001957FD" w:rsidP="00771CF8">
            <w:pPr>
              <w:rPr>
                <w:rFonts w:cs="Times New Roman"/>
                <w:sz w:val="20"/>
                <w:szCs w:val="20"/>
              </w:rPr>
            </w:pPr>
            <w:r>
              <w:rPr>
                <w:rFonts w:cs="Times New Roman"/>
                <w:sz w:val="20"/>
                <w:szCs w:val="20"/>
              </w:rPr>
              <w:t>LD50 - diphacinone</w:t>
            </w:r>
          </w:p>
        </w:tc>
        <w:tc>
          <w:tcPr>
            <w:tcW w:w="1984" w:type="dxa"/>
            <w:vAlign w:val="center"/>
          </w:tcPr>
          <w:p w:rsidR="001957FD" w:rsidRPr="00A44896" w:rsidRDefault="001957FD" w:rsidP="00771CF8">
            <w:pPr>
              <w:jc w:val="center"/>
              <w:rPr>
                <w:rFonts w:cs="Times New Roman"/>
                <w:sz w:val="20"/>
                <w:szCs w:val="20"/>
              </w:rPr>
            </w:pPr>
            <w:r>
              <w:rPr>
                <w:rFonts w:cs="Times New Roman"/>
                <w:sz w:val="20"/>
                <w:szCs w:val="20"/>
              </w:rPr>
              <w:t>97, 3158 mg/kg bw</w:t>
            </w:r>
          </w:p>
        </w:tc>
        <w:tc>
          <w:tcPr>
            <w:tcW w:w="5387" w:type="dxa"/>
            <w:vAlign w:val="center"/>
          </w:tcPr>
          <w:p w:rsidR="0027350D" w:rsidRDefault="001957FD" w:rsidP="00771CF8">
            <w:pPr>
              <w:rPr>
                <w:rFonts w:cs="Times New Roman"/>
                <w:sz w:val="20"/>
                <w:szCs w:val="20"/>
              </w:rPr>
            </w:pPr>
            <w:r>
              <w:rPr>
                <w:rFonts w:cs="Times New Roman"/>
                <w:sz w:val="20"/>
                <w:szCs w:val="20"/>
              </w:rPr>
              <w:t>No gull toxicity studies are available. Most sensitive value is for American kestrel (Rattner et al., 2010) and most tolerant value is for mallards (Erickson and Urban, 2004).</w:t>
            </w:r>
          </w:p>
        </w:tc>
      </w:tr>
    </w:tbl>
    <w:p w:rsidR="00DE6FB1" w:rsidRDefault="00DE6FB1">
      <w:pPr>
        <w:pStyle w:val="Heading3"/>
        <w:numPr>
          <w:ilvl w:val="0"/>
          <w:numId w:val="0"/>
        </w:numPr>
        <w:ind w:left="1440"/>
      </w:pPr>
      <w:bookmarkStart w:id="50" w:name="_Toc335836054"/>
      <w:bookmarkEnd w:id="50"/>
    </w:p>
    <w:p w:rsidR="00D52406" w:rsidRPr="00736D20" w:rsidRDefault="00D239DD" w:rsidP="00D52406">
      <w:pPr>
        <w:pStyle w:val="Heading3"/>
      </w:pPr>
      <w:bookmarkStart w:id="51" w:name="_Toc343007949"/>
      <w:r w:rsidRPr="00D239DD">
        <w:t>Brodifacoum</w:t>
      </w:r>
      <w:bookmarkEnd w:id="51"/>
    </w:p>
    <w:p w:rsidR="00D52406" w:rsidRDefault="00D52406" w:rsidP="00D52406">
      <w:pPr>
        <w:rPr>
          <w:rFonts w:cs="Times New Roman"/>
          <w:sz w:val="24"/>
        </w:rPr>
      </w:pPr>
      <w:r>
        <w:rPr>
          <w:rFonts w:cs="Times New Roman"/>
          <w:sz w:val="24"/>
        </w:rPr>
        <w:t xml:space="preserve">Figures </w:t>
      </w:r>
      <w:r w:rsidR="00736D20">
        <w:rPr>
          <w:rFonts w:cs="Times New Roman"/>
          <w:sz w:val="24"/>
        </w:rPr>
        <w:t>5-23</w:t>
      </w:r>
      <w:r>
        <w:rPr>
          <w:rFonts w:cs="Times New Roman"/>
          <w:sz w:val="24"/>
        </w:rPr>
        <w:t xml:space="preserve"> to </w:t>
      </w:r>
      <w:r w:rsidR="00736D20">
        <w:rPr>
          <w:rFonts w:cs="Times New Roman"/>
          <w:sz w:val="24"/>
        </w:rPr>
        <w:t>5</w:t>
      </w:r>
      <w:r>
        <w:rPr>
          <w:rFonts w:cs="Times New Roman"/>
          <w:sz w:val="24"/>
        </w:rPr>
        <w:t>-</w:t>
      </w:r>
      <w:r w:rsidR="00736D20">
        <w:rPr>
          <w:rFonts w:cs="Times New Roman"/>
          <w:sz w:val="24"/>
        </w:rPr>
        <w:t xml:space="preserve">25 </w:t>
      </w:r>
      <w:r>
        <w:rPr>
          <w:rFonts w:cs="Times New Roman"/>
          <w:sz w:val="24"/>
        </w:rPr>
        <w:t xml:space="preserve">show the results of the sensitivity analyses for brodifacoum for </w:t>
      </w:r>
      <w:r w:rsidR="00164193">
        <w:rPr>
          <w:rFonts w:cs="Times New Roman"/>
          <w:sz w:val="24"/>
        </w:rPr>
        <w:t>maximum gull tissue concentration</w:t>
      </w:r>
      <w:r>
        <w:rPr>
          <w:rFonts w:cs="Times New Roman"/>
          <w:sz w:val="24"/>
        </w:rPr>
        <w:t xml:space="preserve">, proportion mortality of gulls, and number of dead gulls. The results of the sensitivity analysis for </w:t>
      </w:r>
      <w:r w:rsidR="00164193">
        <w:rPr>
          <w:rFonts w:cs="Times New Roman"/>
          <w:sz w:val="24"/>
        </w:rPr>
        <w:t>maximum gull tissue concentration</w:t>
      </w:r>
      <w:r>
        <w:rPr>
          <w:rFonts w:cs="Times New Roman"/>
          <w:sz w:val="24"/>
        </w:rPr>
        <w:t xml:space="preserve"> indicate that the three most important variables influencing exposure of western gulls to brodifacoum are the number of applications, hazing effectiveness and time to significant rainfall event </w:t>
      </w:r>
      <w:r w:rsidR="00736D20">
        <w:rPr>
          <w:rFonts w:cs="Times New Roman"/>
          <w:sz w:val="24"/>
        </w:rPr>
        <w:t xml:space="preserve">following the second application </w:t>
      </w:r>
      <w:r>
        <w:rPr>
          <w:rFonts w:cs="Times New Roman"/>
          <w:sz w:val="24"/>
        </w:rPr>
        <w:t xml:space="preserve">(Figure </w:t>
      </w:r>
      <w:r w:rsidR="00736D20">
        <w:rPr>
          <w:rFonts w:cs="Times New Roman"/>
          <w:sz w:val="24"/>
        </w:rPr>
        <w:t>5-23</w:t>
      </w:r>
      <w:r>
        <w:rPr>
          <w:rFonts w:cs="Times New Roman"/>
          <w:sz w:val="24"/>
        </w:rPr>
        <w:t xml:space="preserve">). Hazing effectiveness is the most important variable, as it </w:t>
      </w:r>
      <w:r w:rsidR="00736D20">
        <w:rPr>
          <w:rFonts w:cs="Times New Roman"/>
          <w:sz w:val="24"/>
        </w:rPr>
        <w:t xml:space="preserve">determines </w:t>
      </w:r>
      <w:r>
        <w:rPr>
          <w:rFonts w:cs="Times New Roman"/>
          <w:sz w:val="24"/>
        </w:rPr>
        <w:t xml:space="preserve">how many birds are </w:t>
      </w:r>
      <w:r w:rsidR="00736D20">
        <w:rPr>
          <w:rFonts w:cs="Times New Roman"/>
          <w:sz w:val="24"/>
        </w:rPr>
        <w:t xml:space="preserve">foraging </w:t>
      </w:r>
      <w:r>
        <w:rPr>
          <w:rFonts w:cs="Times New Roman"/>
          <w:sz w:val="24"/>
        </w:rPr>
        <w:t xml:space="preserve">on the island during bait application and could, therefore, potentially consume the bait. </w:t>
      </w:r>
      <w:r w:rsidR="00736D20">
        <w:rPr>
          <w:rFonts w:cs="Times New Roman"/>
          <w:sz w:val="24"/>
        </w:rPr>
        <w:t>Although hazing has been shown to be highly effective</w:t>
      </w:r>
      <w:r w:rsidR="00574867">
        <w:rPr>
          <w:rFonts w:cs="Times New Roman"/>
          <w:sz w:val="24"/>
        </w:rPr>
        <w:t xml:space="preserve"> (~90-98%) </w:t>
      </w:r>
      <w:r w:rsidR="00736D20">
        <w:rPr>
          <w:rFonts w:cs="Times New Roman"/>
          <w:sz w:val="24"/>
        </w:rPr>
        <w:t xml:space="preserve">at airports and landfills (Curtis et al., 1995; Slate et al., 2000; Chipman et al., 2004), it is unknown whether it would be similarly effective at </w:t>
      </w:r>
      <w:r w:rsidR="00BE7C91">
        <w:rPr>
          <w:rFonts w:cs="Times New Roman"/>
          <w:sz w:val="24"/>
        </w:rPr>
        <w:t>SFI</w:t>
      </w:r>
      <w:r w:rsidR="00736D20">
        <w:rPr>
          <w:rFonts w:cs="Times New Roman"/>
          <w:sz w:val="24"/>
        </w:rPr>
        <w:t xml:space="preserve">. A fall, 2012 trial is </w:t>
      </w:r>
      <w:r w:rsidR="00976613">
        <w:rPr>
          <w:rFonts w:cs="Times New Roman"/>
          <w:sz w:val="24"/>
        </w:rPr>
        <w:t xml:space="preserve">underway </w:t>
      </w:r>
      <w:r w:rsidR="00736D20">
        <w:rPr>
          <w:rFonts w:cs="Times New Roman"/>
          <w:sz w:val="24"/>
        </w:rPr>
        <w:t xml:space="preserve">to investigate hazing effectiveness at </w:t>
      </w:r>
      <w:r w:rsidR="00BE7C91">
        <w:rPr>
          <w:rFonts w:cs="Times New Roman"/>
          <w:sz w:val="24"/>
        </w:rPr>
        <w:t>SFI</w:t>
      </w:r>
      <w:r w:rsidR="00736D20">
        <w:rPr>
          <w:rFonts w:cs="Times New Roman"/>
          <w:sz w:val="24"/>
        </w:rPr>
        <w:t>.</w:t>
      </w:r>
    </w:p>
    <w:p w:rsidR="00D52406" w:rsidRDefault="00D52406" w:rsidP="00D52406">
      <w:pPr>
        <w:rPr>
          <w:rFonts w:cs="Times New Roman"/>
          <w:sz w:val="24"/>
        </w:rPr>
      </w:pPr>
      <w:r>
        <w:rPr>
          <w:rFonts w:cs="Times New Roman"/>
          <w:sz w:val="24"/>
        </w:rPr>
        <w:t xml:space="preserve">Time to </w:t>
      </w:r>
      <w:r w:rsidR="00736D20">
        <w:rPr>
          <w:rFonts w:cs="Times New Roman"/>
          <w:sz w:val="24"/>
        </w:rPr>
        <w:t xml:space="preserve">the first significant </w:t>
      </w:r>
      <w:r>
        <w:rPr>
          <w:rFonts w:cs="Times New Roman"/>
          <w:sz w:val="24"/>
        </w:rPr>
        <w:t xml:space="preserve">rainfall event </w:t>
      </w:r>
      <w:r w:rsidR="00736D20">
        <w:rPr>
          <w:rFonts w:cs="Times New Roman"/>
          <w:sz w:val="24"/>
        </w:rPr>
        <w:t xml:space="preserve">following the second application </w:t>
      </w:r>
      <w:r>
        <w:rPr>
          <w:rFonts w:cs="Times New Roman"/>
          <w:sz w:val="24"/>
        </w:rPr>
        <w:t xml:space="preserve">is also significant because rain removes the pellets from the environment, particularly after the second application when few, if any, mice are available to remove pellets. As a result, if there is an extended period of time to the first rainfall event after the second application, gulls will have much higher exposure doses due to the long-term availability of pellets. Although time to first significant rainfall event is a critical input variable, there is no need to conduct additional research on this variable. Thirty-eight years of data on daily rainfall at </w:t>
      </w:r>
      <w:r w:rsidR="00BE7C91">
        <w:rPr>
          <w:rFonts w:cs="Times New Roman"/>
          <w:sz w:val="24"/>
        </w:rPr>
        <w:t>SFI</w:t>
      </w:r>
      <w:r>
        <w:rPr>
          <w:rFonts w:cs="Times New Roman"/>
          <w:sz w:val="24"/>
        </w:rPr>
        <w:t xml:space="preserve"> are currently available (1972-2010), which is sufficient for determining best case, most likely case and worst case values for this variable. </w:t>
      </w:r>
    </w:p>
    <w:p w:rsidR="00FB11B9" w:rsidRDefault="00736D20" w:rsidP="00D52406">
      <w:pPr>
        <w:rPr>
          <w:rFonts w:cs="Times New Roman"/>
          <w:sz w:val="24"/>
        </w:rPr>
      </w:pPr>
      <w:r>
        <w:rPr>
          <w:rFonts w:cs="Times New Roman"/>
          <w:sz w:val="24"/>
        </w:rPr>
        <w:t>T</w:t>
      </w:r>
      <w:r w:rsidR="00D52406">
        <w:rPr>
          <w:rFonts w:cs="Times New Roman"/>
          <w:sz w:val="24"/>
        </w:rPr>
        <w:t xml:space="preserve">he number of applications is a significant input variable because there </w:t>
      </w:r>
      <w:r>
        <w:rPr>
          <w:rFonts w:cs="Times New Roman"/>
          <w:sz w:val="24"/>
        </w:rPr>
        <w:t xml:space="preserve">will likely </w:t>
      </w:r>
      <w:r w:rsidR="00D52406">
        <w:rPr>
          <w:rFonts w:cs="Times New Roman"/>
          <w:sz w:val="24"/>
        </w:rPr>
        <w:t xml:space="preserve">be very few mice available following the second application to consume the pellets. This increases the likelihood that </w:t>
      </w:r>
      <w:r>
        <w:rPr>
          <w:rFonts w:cs="Times New Roman"/>
          <w:sz w:val="24"/>
        </w:rPr>
        <w:t xml:space="preserve">the </w:t>
      </w:r>
      <w:r w:rsidR="00D52406">
        <w:rPr>
          <w:rFonts w:cs="Times New Roman"/>
          <w:sz w:val="24"/>
        </w:rPr>
        <w:t xml:space="preserve">remaining pellets will be consumed by gulls. It is important that measures be taken to reduce the availability of pellets to </w:t>
      </w:r>
      <w:r w:rsidR="009849A4">
        <w:rPr>
          <w:rFonts w:cs="Times New Roman"/>
          <w:sz w:val="24"/>
        </w:rPr>
        <w:t>gulls</w:t>
      </w:r>
      <w:r w:rsidR="00D52406">
        <w:rPr>
          <w:rFonts w:cs="Times New Roman"/>
          <w:sz w:val="24"/>
        </w:rPr>
        <w:t xml:space="preserve">. This could be done by hazing, as the sensitivity analysis shows that effective hazing greatly reduces the dose ingested by the gulls. Overall, the most effective way to reduce </w:t>
      </w:r>
      <w:r w:rsidR="003500B8">
        <w:rPr>
          <w:rFonts w:cs="Times New Roman"/>
          <w:sz w:val="24"/>
        </w:rPr>
        <w:t xml:space="preserve">exposure to </w:t>
      </w:r>
      <w:r w:rsidR="00D52406">
        <w:rPr>
          <w:rFonts w:cs="Times New Roman"/>
          <w:sz w:val="24"/>
        </w:rPr>
        <w:t xml:space="preserve">gulls would be to enhance the hazing effort. </w:t>
      </w:r>
    </w:p>
    <w:p w:rsidR="00D52406" w:rsidRDefault="00FB11B9" w:rsidP="00D52406">
      <w:pPr>
        <w:rPr>
          <w:rFonts w:cs="Times New Roman"/>
          <w:sz w:val="24"/>
        </w:rPr>
      </w:pPr>
      <w:r>
        <w:rPr>
          <w:rFonts w:cs="Times New Roman"/>
          <w:sz w:val="24"/>
        </w:rPr>
        <w:t xml:space="preserve">Varying pellet half-life after the first application from 0.5 to 2 days had only a modest influence on gull exposure to brodifacoum. The available data suggest that this is a reasonable range for this variable </w:t>
      </w:r>
      <w:r w:rsidR="00A564AE">
        <w:rPr>
          <w:rFonts w:cs="Times New Roman"/>
          <w:sz w:val="24"/>
        </w:rPr>
        <w:t xml:space="preserve">(e.g., Howald et al., 2001; FWS, </w:t>
      </w:r>
      <w:r w:rsidR="00F3695B">
        <w:rPr>
          <w:rFonts w:cs="Times New Roman"/>
          <w:sz w:val="24"/>
        </w:rPr>
        <w:t>2012</w:t>
      </w:r>
      <w:r w:rsidR="00A564AE">
        <w:rPr>
          <w:rFonts w:cs="Times New Roman"/>
          <w:sz w:val="24"/>
        </w:rPr>
        <w:t xml:space="preserve">) </w:t>
      </w:r>
      <w:r>
        <w:rPr>
          <w:rFonts w:cs="Times New Roman"/>
          <w:sz w:val="24"/>
        </w:rPr>
        <w:t>a</w:t>
      </w:r>
      <w:r w:rsidR="0057080A">
        <w:rPr>
          <w:rFonts w:cs="Times New Roman"/>
          <w:sz w:val="24"/>
        </w:rPr>
        <w:t xml:space="preserve">nd thus further research would not significantly reduce model uncertainty. Varying the </w:t>
      </w:r>
      <w:r w:rsidR="00CC4D00">
        <w:rPr>
          <w:rFonts w:cs="Times New Roman"/>
          <w:sz w:val="24"/>
        </w:rPr>
        <w:t xml:space="preserve">daily </w:t>
      </w:r>
      <w:r w:rsidR="0057080A">
        <w:rPr>
          <w:rFonts w:cs="Times New Roman"/>
          <w:sz w:val="24"/>
        </w:rPr>
        <w:t xml:space="preserve">probability of gulls ingesting pellets from 0.22 to 0.25 also had only a modest influence on gull </w:t>
      </w:r>
      <w:r w:rsidR="00574867" w:rsidRPr="00574867">
        <w:rPr>
          <w:rFonts w:cs="Times New Roman"/>
          <w:sz w:val="24"/>
        </w:rPr>
        <w:t>exposure</w:t>
      </w:r>
      <w:r w:rsidR="0057080A">
        <w:rPr>
          <w:rFonts w:cs="Times New Roman"/>
          <w:sz w:val="24"/>
        </w:rPr>
        <w:t xml:space="preserve">. Although data from the 2010 </w:t>
      </w:r>
      <w:r w:rsidR="00BE7C91">
        <w:rPr>
          <w:rFonts w:cs="Times New Roman"/>
          <w:sz w:val="24"/>
        </w:rPr>
        <w:t>SFI</w:t>
      </w:r>
      <w:r w:rsidR="0057080A">
        <w:rPr>
          <w:rFonts w:cs="Times New Roman"/>
          <w:sz w:val="24"/>
        </w:rPr>
        <w:t xml:space="preserve"> trial </w:t>
      </w:r>
      <w:r w:rsidR="00F3695B">
        <w:rPr>
          <w:rFonts w:cs="Times New Roman"/>
          <w:sz w:val="24"/>
        </w:rPr>
        <w:t xml:space="preserve">were </w:t>
      </w:r>
      <w:r w:rsidR="0057080A">
        <w:rPr>
          <w:rFonts w:cs="Times New Roman"/>
          <w:sz w:val="24"/>
        </w:rPr>
        <w:t xml:space="preserve">used to define this narrow range, the dataset was clearly limited and thus there is uncertainty regarding this input parameter. </w:t>
      </w:r>
      <w:r w:rsidR="00E73F1D">
        <w:rPr>
          <w:rFonts w:cs="Times New Roman"/>
          <w:sz w:val="24"/>
        </w:rPr>
        <w:t xml:space="preserve">The 0.22-0.25 range was at the maximum end of the range actually observed at SFI using two different methods (proportion fecal pellets with dye and observations of foraging gulls). </w:t>
      </w:r>
      <w:r w:rsidR="0057080A">
        <w:rPr>
          <w:rFonts w:cs="Times New Roman"/>
          <w:sz w:val="24"/>
        </w:rPr>
        <w:t xml:space="preserve">The </w:t>
      </w:r>
      <w:r w:rsidR="00076970">
        <w:rPr>
          <w:rFonts w:cs="Times New Roman"/>
          <w:sz w:val="24"/>
        </w:rPr>
        <w:t>conditional probability</w:t>
      </w:r>
      <w:r w:rsidR="0057080A">
        <w:rPr>
          <w:rFonts w:cs="Times New Roman"/>
          <w:sz w:val="24"/>
        </w:rPr>
        <w:t xml:space="preserve"> for ingesting pellets is also highly uncertain. However, varying this parameter value from 0.5 to 0.9 had little impact on predicted gull exposure. This result suggests that further research is not required for the </w:t>
      </w:r>
      <w:r w:rsidR="00076970">
        <w:rPr>
          <w:rFonts w:cs="Times New Roman"/>
          <w:sz w:val="24"/>
        </w:rPr>
        <w:t>conditional probability</w:t>
      </w:r>
      <w:r w:rsidR="0057080A">
        <w:rPr>
          <w:rFonts w:cs="Times New Roman"/>
          <w:sz w:val="24"/>
        </w:rPr>
        <w:t xml:space="preserve"> for ingesting pellets. The time required for pellets to break</w:t>
      </w:r>
      <w:r w:rsidR="00BA725A">
        <w:rPr>
          <w:rFonts w:cs="Times New Roman"/>
          <w:sz w:val="24"/>
        </w:rPr>
        <w:t xml:space="preserve"> </w:t>
      </w:r>
      <w:r w:rsidR="0057080A">
        <w:rPr>
          <w:rFonts w:cs="Times New Roman"/>
          <w:sz w:val="24"/>
        </w:rPr>
        <w:t xml:space="preserve">down following a significant rainfall event had a modest influence on gull exposure. There are several studies that indicate </w:t>
      </w:r>
      <w:r w:rsidR="00164193">
        <w:rPr>
          <w:rFonts w:cs="Times New Roman"/>
          <w:sz w:val="24"/>
        </w:rPr>
        <w:t xml:space="preserve">a </w:t>
      </w:r>
      <w:r w:rsidR="0057080A">
        <w:rPr>
          <w:rFonts w:cs="Times New Roman"/>
          <w:sz w:val="24"/>
        </w:rPr>
        <w:t xml:space="preserve">fairly rapid breakdown </w:t>
      </w:r>
      <w:r w:rsidR="00A564AE">
        <w:rPr>
          <w:rFonts w:cs="Times New Roman"/>
          <w:sz w:val="24"/>
        </w:rPr>
        <w:t xml:space="preserve">and molding </w:t>
      </w:r>
      <w:r w:rsidR="0057080A">
        <w:rPr>
          <w:rFonts w:cs="Times New Roman"/>
          <w:sz w:val="24"/>
        </w:rPr>
        <w:t xml:space="preserve">of pellets </w:t>
      </w:r>
      <w:r w:rsidR="00A564AE">
        <w:rPr>
          <w:rFonts w:cs="Times New Roman"/>
          <w:sz w:val="24"/>
        </w:rPr>
        <w:t xml:space="preserve">when moisture levels are high (e.g., </w:t>
      </w:r>
      <w:r w:rsidR="0057080A">
        <w:rPr>
          <w:rFonts w:cs="Times New Roman"/>
          <w:sz w:val="24"/>
        </w:rPr>
        <w:t>following a significant rainfall event</w:t>
      </w:r>
      <w:r w:rsidR="00A564AE">
        <w:rPr>
          <w:rFonts w:cs="Times New Roman"/>
          <w:sz w:val="24"/>
        </w:rPr>
        <w:t>)</w:t>
      </w:r>
      <w:r w:rsidR="0057080A">
        <w:rPr>
          <w:rFonts w:cs="Times New Roman"/>
          <w:sz w:val="24"/>
        </w:rPr>
        <w:t xml:space="preserve"> (e.g., Merton, 1987; </w:t>
      </w:r>
      <w:r w:rsidR="00A564AE">
        <w:rPr>
          <w:rFonts w:cs="Times New Roman"/>
          <w:sz w:val="24"/>
        </w:rPr>
        <w:t>Howald et al., 2001).</w:t>
      </w:r>
      <w:r w:rsidR="00164193">
        <w:rPr>
          <w:rFonts w:cs="Times New Roman"/>
          <w:sz w:val="24"/>
        </w:rPr>
        <w:t xml:space="preserve"> As such, no further research is recommended for this variable.</w:t>
      </w:r>
      <w:r w:rsidR="00574867" w:rsidRPr="00574867">
        <w:rPr>
          <w:rFonts w:cs="Times New Roman"/>
          <w:sz w:val="24"/>
        </w:rPr>
        <w:t xml:space="preserve"> A site-specific bait degradation study is being conducted on SFI</w:t>
      </w:r>
      <w:r w:rsidR="00E73F1D">
        <w:rPr>
          <w:rFonts w:cs="Times New Roman"/>
          <w:sz w:val="24"/>
        </w:rPr>
        <w:t>,</w:t>
      </w:r>
      <w:r w:rsidR="00574867" w:rsidRPr="00574867">
        <w:rPr>
          <w:rFonts w:cs="Times New Roman"/>
          <w:sz w:val="24"/>
        </w:rPr>
        <w:t xml:space="preserve"> however</w:t>
      </w:r>
      <w:r w:rsidR="00E73F1D">
        <w:rPr>
          <w:rFonts w:cs="Times New Roman"/>
          <w:sz w:val="24"/>
        </w:rPr>
        <w:t>,</w:t>
      </w:r>
      <w:r w:rsidR="00574867" w:rsidRPr="00574867">
        <w:rPr>
          <w:rFonts w:cs="Times New Roman"/>
          <w:sz w:val="24"/>
        </w:rPr>
        <w:t xml:space="preserve"> during the fall 2012 season to determine how quickly the two bait pellet types would degrade during a normal fall/winter rainfall season, using non-toxic formulations.</w:t>
      </w:r>
    </w:p>
    <w:p w:rsidR="00164193" w:rsidRDefault="00FB11B9" w:rsidP="00D52406">
      <w:pPr>
        <w:rPr>
          <w:rFonts w:cs="Times New Roman"/>
          <w:sz w:val="24"/>
        </w:rPr>
      </w:pPr>
      <w:r>
        <w:rPr>
          <w:rFonts w:cs="Times New Roman"/>
          <w:sz w:val="24"/>
        </w:rPr>
        <w:t xml:space="preserve">Variables related to the secondary route of exposure (e.g., concentration in mice, probability of consuming mice, </w:t>
      </w:r>
      <w:r w:rsidR="00076970">
        <w:rPr>
          <w:rFonts w:cs="Times New Roman"/>
          <w:sz w:val="24"/>
        </w:rPr>
        <w:t>conditional probability</w:t>
      </w:r>
      <w:r>
        <w:rPr>
          <w:rFonts w:cs="Times New Roman"/>
          <w:sz w:val="24"/>
        </w:rPr>
        <w:t xml:space="preserve"> for consuming mice, proportion of intoxicated mice below ground) had little influence on predicted exposure to western gulls. As shown in Figures 5-11 and 5-12, total removal of dead or intoxicated mice would do little to reduce gull mortality. Clearly, exposure to pellets is </w:t>
      </w:r>
      <w:r w:rsidR="00E73F1D">
        <w:rPr>
          <w:rFonts w:cs="Times New Roman"/>
          <w:sz w:val="24"/>
        </w:rPr>
        <w:t xml:space="preserve">a </w:t>
      </w:r>
      <w:r>
        <w:rPr>
          <w:rFonts w:cs="Times New Roman"/>
          <w:sz w:val="24"/>
        </w:rPr>
        <w:t>far more important contributor to gull exposure than is exposure to mice. Thus, no research is recommended to reduce uncertainty in the parameters related to the secondary route of exposure.</w:t>
      </w:r>
    </w:p>
    <w:p w:rsidR="00D52406" w:rsidRDefault="000F5480" w:rsidP="00D52406">
      <w:pPr>
        <w:jc w:val="center"/>
        <w:rPr>
          <w:rFonts w:cs="Times New Roman"/>
          <w:sz w:val="24"/>
        </w:rPr>
      </w:pPr>
      <w:r w:rsidRPr="000F5480">
        <w:rPr>
          <w:rFonts w:cs="Times New Roman"/>
          <w:noProof/>
          <w:sz w:val="24"/>
          <w:lang w:val="en-US"/>
        </w:rPr>
        <w:drawing>
          <wp:inline distT="0" distB="0" distL="0" distR="0" wp14:anchorId="73D4726D" wp14:editId="3836AAAC">
            <wp:extent cx="5943600" cy="4179570"/>
            <wp:effectExtent l="0" t="0" r="0" b="0"/>
            <wp:docPr id="39"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D52406" w:rsidRDefault="00D52406" w:rsidP="00D52406">
      <w:pPr>
        <w:jc w:val="center"/>
        <w:rPr>
          <w:rFonts w:cs="Times New Roman"/>
          <w:b/>
          <w:sz w:val="24"/>
        </w:rPr>
      </w:pPr>
      <w:r>
        <w:rPr>
          <w:rFonts w:cs="Times New Roman"/>
          <w:b/>
          <w:sz w:val="24"/>
        </w:rPr>
        <w:t xml:space="preserve">Figure </w:t>
      </w:r>
      <w:r w:rsidR="00164193">
        <w:rPr>
          <w:rFonts w:cs="Times New Roman"/>
          <w:b/>
          <w:sz w:val="24"/>
        </w:rPr>
        <w:t>5-23</w:t>
      </w:r>
      <w:r>
        <w:rPr>
          <w:rFonts w:cs="Times New Roman"/>
          <w:b/>
          <w:sz w:val="24"/>
        </w:rPr>
        <w:t xml:space="preserve">. Results of sensitivity analysis for brodifacoum for </w:t>
      </w:r>
      <w:r w:rsidR="003500B8">
        <w:rPr>
          <w:rFonts w:cs="Times New Roman"/>
          <w:b/>
          <w:sz w:val="24"/>
        </w:rPr>
        <w:t>maximum tissue concentration in western gulls</w:t>
      </w:r>
      <w:r w:rsidR="0025248A">
        <w:rPr>
          <w:rFonts w:cs="Times New Roman"/>
          <w:b/>
          <w:sz w:val="24"/>
        </w:rPr>
        <w:t xml:space="preserve"> exposed to brodifacoum</w:t>
      </w:r>
      <w:r>
        <w:rPr>
          <w:rFonts w:cs="Times New Roman"/>
          <w:b/>
          <w:sz w:val="24"/>
        </w:rPr>
        <w:t>.</w:t>
      </w:r>
    </w:p>
    <w:p w:rsidR="00D52406" w:rsidRDefault="00D52406" w:rsidP="00D52406">
      <w:pPr>
        <w:rPr>
          <w:rFonts w:cs="Times New Roman"/>
          <w:sz w:val="24"/>
        </w:rPr>
      </w:pPr>
    </w:p>
    <w:p w:rsidR="00D52406" w:rsidRPr="00A52E5D" w:rsidRDefault="00164193" w:rsidP="00D52406">
      <w:pPr>
        <w:rPr>
          <w:rFonts w:cs="Times New Roman"/>
          <w:sz w:val="24"/>
        </w:rPr>
      </w:pPr>
      <w:r>
        <w:rPr>
          <w:rFonts w:cs="Times New Roman"/>
          <w:sz w:val="24"/>
        </w:rPr>
        <w:t xml:space="preserve">The results of the sensitivity analysis for proportion and number of dead gulls were similar to the results for gull exposure except that </w:t>
      </w:r>
      <w:r w:rsidR="00D52406">
        <w:rPr>
          <w:rFonts w:cs="Times New Roman"/>
          <w:sz w:val="24"/>
        </w:rPr>
        <w:t xml:space="preserve">the gull LD50 </w:t>
      </w:r>
      <w:r>
        <w:rPr>
          <w:rFonts w:cs="Times New Roman"/>
          <w:sz w:val="24"/>
        </w:rPr>
        <w:t>was also demonstrated to be important</w:t>
      </w:r>
      <w:r w:rsidR="003500B8">
        <w:rPr>
          <w:rFonts w:cs="Times New Roman"/>
          <w:sz w:val="24"/>
        </w:rPr>
        <w:t xml:space="preserve"> (Figures 5-24 and 5-25)</w:t>
      </w:r>
      <w:r w:rsidR="00D52406">
        <w:rPr>
          <w:rFonts w:cs="Times New Roman"/>
          <w:sz w:val="24"/>
        </w:rPr>
        <w:t xml:space="preserve">. The range between the best and worst case gull LD50s is quite wide (5 mg ai/kg </w:t>
      </w:r>
      <w:proofErr w:type="gramStart"/>
      <w:r w:rsidR="00D52406">
        <w:rPr>
          <w:rFonts w:cs="Times New Roman"/>
          <w:sz w:val="24"/>
        </w:rPr>
        <w:t>bw</w:t>
      </w:r>
      <w:proofErr w:type="gramEnd"/>
      <w:r w:rsidR="00D52406">
        <w:rPr>
          <w:rFonts w:cs="Times New Roman"/>
          <w:sz w:val="24"/>
        </w:rPr>
        <w:t xml:space="preserve"> and 0.</w:t>
      </w:r>
      <w:r w:rsidR="003500B8">
        <w:rPr>
          <w:rFonts w:cs="Times New Roman"/>
          <w:sz w:val="24"/>
        </w:rPr>
        <w:t xml:space="preserve">588 </w:t>
      </w:r>
      <w:r w:rsidR="00D52406">
        <w:rPr>
          <w:rFonts w:cs="Times New Roman"/>
          <w:sz w:val="24"/>
        </w:rPr>
        <w:t>mg ai/kg bw, respectively). The worst case LD50 is based upon probit analysis of the results of toxicity studies conducted by Wildlife International (1979a</w:t>
      </w:r>
      <w:proofErr w:type="gramStart"/>
      <w:r w:rsidR="00D52406">
        <w:rPr>
          <w:rFonts w:cs="Times New Roman"/>
          <w:sz w:val="24"/>
        </w:rPr>
        <w:t>,b</w:t>
      </w:r>
      <w:proofErr w:type="gramEnd"/>
      <w:r w:rsidR="00D52406">
        <w:rPr>
          <w:rFonts w:cs="Times New Roman"/>
          <w:sz w:val="24"/>
        </w:rPr>
        <w:t>) on the laughing gull (</w:t>
      </w:r>
      <w:r w:rsidR="00D52406">
        <w:rPr>
          <w:rFonts w:cs="Times New Roman"/>
          <w:i/>
          <w:sz w:val="24"/>
        </w:rPr>
        <w:t>Larus atricilla</w:t>
      </w:r>
      <w:r w:rsidR="00D52406">
        <w:rPr>
          <w:rFonts w:cs="Times New Roman"/>
          <w:sz w:val="24"/>
        </w:rPr>
        <w:t>). The best case LD50 is from Godfrey (1986) who found that the black-blacked gull (</w:t>
      </w:r>
      <w:r w:rsidR="00D52406">
        <w:rPr>
          <w:rFonts w:cs="Times New Roman"/>
          <w:i/>
          <w:sz w:val="24"/>
        </w:rPr>
        <w:t>Chroicocephalus bulleri</w:t>
      </w:r>
      <w:r w:rsidR="00D52406">
        <w:rPr>
          <w:rFonts w:cs="Times New Roman"/>
          <w:sz w:val="24"/>
        </w:rPr>
        <w:t xml:space="preserve">) had an LD50 of &lt;5 mg ai/kg </w:t>
      </w:r>
      <w:proofErr w:type="gramStart"/>
      <w:r w:rsidR="00D52406">
        <w:rPr>
          <w:rFonts w:cs="Times New Roman"/>
          <w:sz w:val="24"/>
        </w:rPr>
        <w:t>bw</w:t>
      </w:r>
      <w:proofErr w:type="gramEnd"/>
      <w:r w:rsidR="00D52406">
        <w:rPr>
          <w:rFonts w:cs="Times New Roman"/>
          <w:sz w:val="24"/>
        </w:rPr>
        <w:t xml:space="preserve">. No toxicity data are available for western gulls, thus there is no information available at this time to tighten the bounds on the gull LD50. </w:t>
      </w:r>
      <w:r w:rsidR="003500B8">
        <w:rPr>
          <w:rFonts w:cs="Times New Roman"/>
          <w:sz w:val="24"/>
        </w:rPr>
        <w:t>Conducting</w:t>
      </w:r>
      <w:r w:rsidR="00D52406">
        <w:rPr>
          <w:rFonts w:cs="Times New Roman"/>
          <w:sz w:val="24"/>
        </w:rPr>
        <w:t xml:space="preserve"> a toxicity test specific for western gulls would reduce the uncertainty inherent in the LD50 values currently used for analyses.</w:t>
      </w:r>
    </w:p>
    <w:p w:rsidR="00D52406" w:rsidRDefault="000F5480" w:rsidP="00D52406">
      <w:pPr>
        <w:jc w:val="center"/>
        <w:rPr>
          <w:rFonts w:cs="Times New Roman"/>
          <w:b/>
          <w:sz w:val="24"/>
        </w:rPr>
      </w:pPr>
      <w:r w:rsidRPr="000F5480">
        <w:rPr>
          <w:rFonts w:cs="Times New Roman"/>
          <w:b/>
          <w:noProof/>
          <w:sz w:val="24"/>
          <w:lang w:val="en-US"/>
        </w:rPr>
        <w:drawing>
          <wp:inline distT="0" distB="0" distL="0" distR="0" wp14:anchorId="243E51B1" wp14:editId="05D0B88A">
            <wp:extent cx="5829300" cy="3857625"/>
            <wp:effectExtent l="0" t="0" r="0" b="0"/>
            <wp:docPr id="40"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52406" w:rsidRPr="00753892" w:rsidRDefault="00D52406" w:rsidP="00D52406">
      <w:pPr>
        <w:jc w:val="center"/>
        <w:rPr>
          <w:rFonts w:cs="Times New Roman"/>
          <w:b/>
          <w:sz w:val="24"/>
        </w:rPr>
      </w:pPr>
      <w:r>
        <w:rPr>
          <w:rFonts w:cs="Times New Roman"/>
          <w:b/>
          <w:sz w:val="24"/>
        </w:rPr>
        <w:t xml:space="preserve">Figure </w:t>
      </w:r>
      <w:r w:rsidR="003500B8">
        <w:rPr>
          <w:rFonts w:cs="Times New Roman"/>
          <w:b/>
          <w:sz w:val="24"/>
        </w:rPr>
        <w:t>5-24</w:t>
      </w:r>
      <w:r>
        <w:rPr>
          <w:rFonts w:cs="Times New Roman"/>
          <w:b/>
          <w:sz w:val="24"/>
        </w:rPr>
        <w:t>.</w:t>
      </w:r>
      <w:r w:rsidRPr="00753892">
        <w:rPr>
          <w:rFonts w:cs="Times New Roman"/>
          <w:b/>
          <w:sz w:val="24"/>
        </w:rPr>
        <w:t xml:space="preserve"> Results of sensitivity analysis </w:t>
      </w:r>
      <w:r>
        <w:rPr>
          <w:rFonts w:cs="Times New Roman"/>
          <w:b/>
          <w:sz w:val="24"/>
        </w:rPr>
        <w:t>for</w:t>
      </w:r>
      <w:r w:rsidRPr="00753892">
        <w:rPr>
          <w:rFonts w:cs="Times New Roman"/>
          <w:b/>
          <w:sz w:val="24"/>
        </w:rPr>
        <w:t xml:space="preserve"> proportion of dead western gulls</w:t>
      </w:r>
      <w:r w:rsidR="0025248A">
        <w:rPr>
          <w:rFonts w:cs="Times New Roman"/>
          <w:b/>
          <w:sz w:val="24"/>
        </w:rPr>
        <w:t xml:space="preserve"> exposed to brodifacoum</w:t>
      </w:r>
      <w:r w:rsidR="003500B8">
        <w:rPr>
          <w:rFonts w:cs="Times New Roman"/>
          <w:b/>
          <w:sz w:val="24"/>
        </w:rPr>
        <w:t>.</w:t>
      </w:r>
    </w:p>
    <w:p w:rsidR="00D52406" w:rsidRDefault="00D52406" w:rsidP="00D52406">
      <w:pPr>
        <w:rPr>
          <w:rFonts w:cs="Times New Roman"/>
          <w:sz w:val="24"/>
        </w:rPr>
      </w:pPr>
    </w:p>
    <w:p w:rsidR="00D52406" w:rsidRDefault="000F5480" w:rsidP="00D52406">
      <w:pPr>
        <w:jc w:val="center"/>
        <w:rPr>
          <w:rFonts w:cs="Times New Roman"/>
          <w:sz w:val="24"/>
        </w:rPr>
      </w:pPr>
      <w:r w:rsidRPr="000F5480">
        <w:rPr>
          <w:rFonts w:cs="Times New Roman"/>
          <w:noProof/>
          <w:sz w:val="24"/>
          <w:lang w:val="en-US"/>
        </w:rPr>
        <w:drawing>
          <wp:inline distT="0" distB="0" distL="0" distR="0" wp14:anchorId="33443351" wp14:editId="5A717235">
            <wp:extent cx="5943600" cy="3883025"/>
            <wp:effectExtent l="0" t="0" r="0" b="0"/>
            <wp:docPr id="41"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52406" w:rsidRDefault="00D52406" w:rsidP="00D52406">
      <w:pPr>
        <w:jc w:val="center"/>
        <w:rPr>
          <w:rFonts w:cs="Times New Roman"/>
          <w:b/>
          <w:sz w:val="24"/>
        </w:rPr>
      </w:pPr>
      <w:r>
        <w:rPr>
          <w:rFonts w:cs="Times New Roman"/>
          <w:b/>
          <w:sz w:val="24"/>
        </w:rPr>
        <w:t xml:space="preserve">Figure </w:t>
      </w:r>
      <w:r w:rsidR="003500B8">
        <w:rPr>
          <w:rFonts w:cs="Times New Roman"/>
          <w:b/>
          <w:sz w:val="24"/>
        </w:rPr>
        <w:t>5-25</w:t>
      </w:r>
      <w:r>
        <w:rPr>
          <w:rFonts w:cs="Times New Roman"/>
          <w:b/>
          <w:sz w:val="24"/>
        </w:rPr>
        <w:t>. Results of sensitivity analysis for number of dead western gulls</w:t>
      </w:r>
      <w:r w:rsidR="0025248A">
        <w:rPr>
          <w:rFonts w:cs="Times New Roman"/>
          <w:b/>
          <w:sz w:val="24"/>
        </w:rPr>
        <w:t xml:space="preserve"> exposed to brodifacoum</w:t>
      </w:r>
      <w:r>
        <w:rPr>
          <w:rFonts w:cs="Times New Roman"/>
          <w:b/>
          <w:sz w:val="24"/>
        </w:rPr>
        <w:t>.</w:t>
      </w:r>
    </w:p>
    <w:p w:rsidR="00D52406" w:rsidRDefault="00D52406" w:rsidP="00D52406">
      <w:pPr>
        <w:rPr>
          <w:rFonts w:cs="Times New Roman"/>
          <w:sz w:val="24"/>
        </w:rPr>
      </w:pPr>
    </w:p>
    <w:p w:rsidR="00D52406" w:rsidRPr="00121B71" w:rsidRDefault="00D52406" w:rsidP="00D52406">
      <w:pPr>
        <w:pStyle w:val="Heading3"/>
      </w:pPr>
      <w:bookmarkStart w:id="52" w:name="_Toc343007950"/>
      <w:r w:rsidRPr="00121B71">
        <w:t>Diphacinone</w:t>
      </w:r>
      <w:bookmarkEnd w:id="52"/>
    </w:p>
    <w:p w:rsidR="00D52406" w:rsidRDefault="00D52406" w:rsidP="00D52406">
      <w:pPr>
        <w:rPr>
          <w:rFonts w:cs="Times New Roman"/>
          <w:sz w:val="24"/>
        </w:rPr>
      </w:pPr>
      <w:r>
        <w:rPr>
          <w:rFonts w:cs="Times New Roman"/>
          <w:sz w:val="24"/>
        </w:rPr>
        <w:t xml:space="preserve">Figures </w:t>
      </w:r>
      <w:r w:rsidR="001545CB">
        <w:rPr>
          <w:rFonts w:cs="Times New Roman"/>
          <w:sz w:val="24"/>
        </w:rPr>
        <w:t>5-26</w:t>
      </w:r>
      <w:r>
        <w:rPr>
          <w:rFonts w:cs="Times New Roman"/>
          <w:sz w:val="24"/>
        </w:rPr>
        <w:t xml:space="preserve"> to </w:t>
      </w:r>
      <w:r w:rsidR="001545CB">
        <w:rPr>
          <w:rFonts w:cs="Times New Roman"/>
          <w:sz w:val="24"/>
        </w:rPr>
        <w:t>5-28</w:t>
      </w:r>
      <w:r>
        <w:rPr>
          <w:rFonts w:cs="Times New Roman"/>
          <w:sz w:val="24"/>
        </w:rPr>
        <w:t xml:space="preserve"> show the results of the sensitivity analyses for diphacinone for </w:t>
      </w:r>
      <w:r w:rsidR="001545CB">
        <w:rPr>
          <w:rFonts w:cs="Times New Roman"/>
          <w:sz w:val="24"/>
        </w:rPr>
        <w:t>maximum tissue concentration</w:t>
      </w:r>
      <w:r>
        <w:rPr>
          <w:rFonts w:cs="Times New Roman"/>
          <w:sz w:val="24"/>
        </w:rPr>
        <w:t xml:space="preserve">, proportion mortality of gulls, and number of dead gulls. The results of the sensitivity analysis for </w:t>
      </w:r>
      <w:r w:rsidR="001545CB">
        <w:rPr>
          <w:rFonts w:cs="Times New Roman"/>
          <w:sz w:val="24"/>
        </w:rPr>
        <w:t xml:space="preserve">diphacinone are highly similar to those for brodifacoum but with </w:t>
      </w:r>
      <w:r w:rsidR="00FD1AAF">
        <w:rPr>
          <w:rFonts w:cs="Times New Roman"/>
          <w:sz w:val="24"/>
        </w:rPr>
        <w:t xml:space="preserve">three </w:t>
      </w:r>
      <w:r w:rsidR="001545CB">
        <w:rPr>
          <w:rFonts w:cs="Times New Roman"/>
          <w:sz w:val="24"/>
        </w:rPr>
        <w:t>notable differences</w:t>
      </w:r>
      <w:r>
        <w:rPr>
          <w:rFonts w:cs="Times New Roman"/>
          <w:sz w:val="24"/>
        </w:rPr>
        <w:t xml:space="preserve">. </w:t>
      </w:r>
      <w:r w:rsidR="001545CB">
        <w:rPr>
          <w:rFonts w:cs="Times New Roman"/>
          <w:sz w:val="24"/>
        </w:rPr>
        <w:t>First, number of applications has a profound impact on gull exposure and mortality. In particular, having a third application of diphacinone dramatically increases gull exposure and mortality.</w:t>
      </w:r>
      <w:r w:rsidR="00EB6FCD">
        <w:rPr>
          <w:rFonts w:cs="Times New Roman"/>
          <w:sz w:val="24"/>
        </w:rPr>
        <w:t xml:space="preserve"> </w:t>
      </w:r>
      <w:r w:rsidR="00A05F55">
        <w:rPr>
          <w:rFonts w:cs="Times New Roman"/>
          <w:sz w:val="24"/>
        </w:rPr>
        <w:t>T</w:t>
      </w:r>
      <w:r w:rsidR="00A05F55" w:rsidRPr="00A05F55">
        <w:rPr>
          <w:rFonts w:cs="Times New Roman"/>
          <w:sz w:val="24"/>
        </w:rPr>
        <w:t>he reason that gull impacts are greater with more than 2 applications</w:t>
      </w:r>
      <w:r w:rsidR="00A05F55">
        <w:rPr>
          <w:rFonts w:cs="Times New Roman"/>
          <w:sz w:val="24"/>
        </w:rPr>
        <w:t xml:space="preserve"> of diphacinone</w:t>
      </w:r>
      <w:r w:rsidR="00A05F55" w:rsidRPr="00A05F55">
        <w:rPr>
          <w:rFonts w:cs="Times New Roman"/>
          <w:sz w:val="24"/>
        </w:rPr>
        <w:t xml:space="preserve"> is due to the cumulative nature of diphacinone</w:t>
      </w:r>
      <w:r w:rsidR="00A05F55">
        <w:rPr>
          <w:rFonts w:cs="Times New Roman"/>
          <w:sz w:val="24"/>
        </w:rPr>
        <w:t xml:space="preserve"> exposure.</w:t>
      </w:r>
      <w:r w:rsidR="00A05F55" w:rsidRPr="00A05F55">
        <w:rPr>
          <w:rFonts w:cs="Times New Roman"/>
          <w:sz w:val="24"/>
        </w:rPr>
        <w:t xml:space="preserve"> </w:t>
      </w:r>
      <w:r w:rsidR="00A05F55">
        <w:rPr>
          <w:rFonts w:cs="Times New Roman"/>
          <w:sz w:val="24"/>
        </w:rPr>
        <w:t xml:space="preserve">That is, </w:t>
      </w:r>
      <w:r w:rsidR="00A05F55" w:rsidRPr="00A05F55">
        <w:rPr>
          <w:rFonts w:cs="Times New Roman"/>
          <w:sz w:val="24"/>
        </w:rPr>
        <w:t xml:space="preserve">a lethal dose requires many days to weeks of constant ingestion </w:t>
      </w:r>
      <w:r w:rsidR="00A05F55">
        <w:rPr>
          <w:rFonts w:cs="Times New Roman"/>
          <w:sz w:val="24"/>
        </w:rPr>
        <w:t>because</w:t>
      </w:r>
      <w:r w:rsidR="00A05F55" w:rsidRPr="00A05F55">
        <w:rPr>
          <w:rFonts w:cs="Times New Roman"/>
          <w:sz w:val="24"/>
        </w:rPr>
        <w:t xml:space="preserve"> diphacinone </w:t>
      </w:r>
      <w:r w:rsidR="00A05F55">
        <w:rPr>
          <w:rFonts w:cs="Times New Roman"/>
          <w:sz w:val="24"/>
        </w:rPr>
        <w:t>is</w:t>
      </w:r>
      <w:r w:rsidR="00A05F55" w:rsidRPr="00A05F55">
        <w:rPr>
          <w:rFonts w:cs="Times New Roman"/>
          <w:sz w:val="24"/>
        </w:rPr>
        <w:t xml:space="preserve"> metabolized </w:t>
      </w:r>
      <w:r w:rsidR="00A05F55">
        <w:rPr>
          <w:rFonts w:cs="Times New Roman"/>
          <w:sz w:val="24"/>
        </w:rPr>
        <w:t>at the same time that it is being consumed</w:t>
      </w:r>
      <w:r w:rsidR="00A05F55" w:rsidRPr="00A05F55">
        <w:rPr>
          <w:rFonts w:cs="Times New Roman"/>
          <w:sz w:val="24"/>
        </w:rPr>
        <w:t>.</w:t>
      </w:r>
      <w:r w:rsidR="00A05F55">
        <w:rPr>
          <w:rFonts w:cs="Times New Roman"/>
          <w:sz w:val="24"/>
        </w:rPr>
        <w:t xml:space="preserve"> </w:t>
      </w:r>
      <w:r w:rsidR="00FD1AAF">
        <w:rPr>
          <w:rFonts w:cs="Times New Roman"/>
          <w:sz w:val="24"/>
        </w:rPr>
        <w:t xml:space="preserve">For similar reasons, increasing the application rate to 48 kg bait/ha substantially increases expected dose and gull mortality. The application rate of 48 kg bait/ha is the current proposed rate for SFI whereas the rate of 32 kg bait/ha modeled elsewhere in this report is thought to be the minimum effective rate to ensure mouse eradication. </w:t>
      </w:r>
      <w:r w:rsidR="00EB6FCD">
        <w:rPr>
          <w:rFonts w:cs="Times New Roman"/>
          <w:sz w:val="24"/>
        </w:rPr>
        <w:t xml:space="preserve">The </w:t>
      </w:r>
      <w:r w:rsidR="00FD1AAF">
        <w:rPr>
          <w:rFonts w:cs="Times New Roman"/>
          <w:sz w:val="24"/>
        </w:rPr>
        <w:t xml:space="preserve">third </w:t>
      </w:r>
      <w:r w:rsidR="00EB6FCD">
        <w:rPr>
          <w:rFonts w:cs="Times New Roman"/>
          <w:sz w:val="24"/>
        </w:rPr>
        <w:t xml:space="preserve">highly influential variable was the LD50 assumed for the analysis. No toxicity tests have been carried out on gull species for diphacinone. As a result, the sensitivity of western gulls to this rodenticide is unknown. Assuming the </w:t>
      </w:r>
      <w:r w:rsidR="00FE2215">
        <w:rPr>
          <w:rFonts w:cs="Times New Roman"/>
          <w:sz w:val="24"/>
        </w:rPr>
        <w:t>worst case</w:t>
      </w:r>
      <w:r w:rsidR="00EB6FCD">
        <w:rPr>
          <w:rFonts w:cs="Times New Roman"/>
          <w:sz w:val="24"/>
        </w:rPr>
        <w:t xml:space="preserve"> LD50 of 97 mg ai/kg </w:t>
      </w:r>
      <w:proofErr w:type="gramStart"/>
      <w:r w:rsidR="00EB6FCD">
        <w:rPr>
          <w:rFonts w:cs="Times New Roman"/>
          <w:sz w:val="24"/>
        </w:rPr>
        <w:t>bw</w:t>
      </w:r>
      <w:proofErr w:type="gramEnd"/>
      <w:r w:rsidR="00EB6FCD">
        <w:rPr>
          <w:rFonts w:cs="Times New Roman"/>
          <w:sz w:val="24"/>
        </w:rPr>
        <w:t xml:space="preserve"> for American kestrels (Rattner et al., 2010), led to predictions of significant mortality for western gulls (Figures 5-27 and 5-28). However, assuming the LD50s for northern bobwhite (2</w:t>
      </w:r>
      <w:r w:rsidR="005D1AB2">
        <w:rPr>
          <w:rFonts w:cs="Times New Roman"/>
          <w:sz w:val="24"/>
        </w:rPr>
        <w:t>,</w:t>
      </w:r>
      <w:r w:rsidR="00EB6FCD">
        <w:rPr>
          <w:rFonts w:cs="Times New Roman"/>
          <w:sz w:val="24"/>
        </w:rPr>
        <w:t xml:space="preserve">014 mg ai/kg </w:t>
      </w:r>
      <w:proofErr w:type="gramStart"/>
      <w:r w:rsidR="00EB6FCD">
        <w:rPr>
          <w:rFonts w:cs="Times New Roman"/>
          <w:sz w:val="24"/>
        </w:rPr>
        <w:t>bw</w:t>
      </w:r>
      <w:proofErr w:type="gramEnd"/>
      <w:r w:rsidR="00EB6FCD">
        <w:rPr>
          <w:rFonts w:cs="Times New Roman"/>
          <w:sz w:val="24"/>
        </w:rPr>
        <w:t>; Rattner et al., 2010) or mallards (3</w:t>
      </w:r>
      <w:r w:rsidR="005D1AB2">
        <w:rPr>
          <w:rFonts w:cs="Times New Roman"/>
          <w:sz w:val="24"/>
        </w:rPr>
        <w:t>,</w:t>
      </w:r>
      <w:r w:rsidR="00EB6FCD">
        <w:rPr>
          <w:rFonts w:cs="Times New Roman"/>
          <w:sz w:val="24"/>
        </w:rPr>
        <w:t>158 mg ai/kg bw; Erickson and Urban, 2004) resulted in predictions of no mortality of diphacinone to western gulls. Conducting a toxicity test specific for western gulls is recommended to reduce the uncertainty of using LD50 values from unrelated bird species.</w:t>
      </w:r>
    </w:p>
    <w:p w:rsidR="00D52406" w:rsidRDefault="000F5480" w:rsidP="000F5480">
      <w:pPr>
        <w:jc w:val="center"/>
        <w:rPr>
          <w:rFonts w:cs="Times New Roman"/>
          <w:sz w:val="24"/>
        </w:rPr>
      </w:pPr>
      <w:r w:rsidRPr="000F5480">
        <w:rPr>
          <w:rFonts w:cs="Times New Roman"/>
          <w:noProof/>
          <w:sz w:val="24"/>
          <w:lang w:val="en-US"/>
        </w:rPr>
        <w:drawing>
          <wp:inline distT="0" distB="0" distL="0" distR="0" wp14:anchorId="4D37358B" wp14:editId="5A0DEA9D">
            <wp:extent cx="5943600" cy="4338320"/>
            <wp:effectExtent l="0" t="0" r="0" b="0"/>
            <wp:docPr id="42"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5-26</w:t>
      </w:r>
      <w:r>
        <w:rPr>
          <w:rFonts w:cs="Times New Roman"/>
          <w:b/>
          <w:sz w:val="24"/>
        </w:rPr>
        <w:t xml:space="preserve">. </w:t>
      </w:r>
      <w:r w:rsidR="00373704">
        <w:rPr>
          <w:rFonts w:cs="Times New Roman"/>
          <w:b/>
          <w:sz w:val="24"/>
        </w:rPr>
        <w:t>Results of sensitivity analysis for diphacinone for maximum tissue concentration in western gulls</w:t>
      </w:r>
      <w:r w:rsidR="00D73E49">
        <w:rPr>
          <w:rFonts w:cs="Times New Roman"/>
          <w:b/>
          <w:sz w:val="24"/>
        </w:rPr>
        <w:t xml:space="preserve"> exposed to diphacinone</w:t>
      </w:r>
      <w:r w:rsidR="00373704">
        <w:rPr>
          <w:rFonts w:cs="Times New Roman"/>
          <w:b/>
          <w:sz w:val="24"/>
        </w:rPr>
        <w:t>.</w:t>
      </w:r>
    </w:p>
    <w:p w:rsidR="00D52406" w:rsidRDefault="00D52406" w:rsidP="00D52406">
      <w:pPr>
        <w:rPr>
          <w:rFonts w:cs="Times New Roman"/>
          <w:sz w:val="24"/>
        </w:rPr>
      </w:pPr>
    </w:p>
    <w:p w:rsidR="00D52406" w:rsidRDefault="000F5480" w:rsidP="000F5480">
      <w:pPr>
        <w:jc w:val="center"/>
        <w:rPr>
          <w:rFonts w:cs="Times New Roman"/>
          <w:sz w:val="24"/>
        </w:rPr>
      </w:pPr>
      <w:r w:rsidRPr="000F5480">
        <w:rPr>
          <w:rFonts w:cs="Times New Roman"/>
          <w:noProof/>
          <w:sz w:val="24"/>
          <w:lang w:val="en-US"/>
        </w:rPr>
        <w:drawing>
          <wp:inline distT="0" distB="0" distL="0" distR="0" wp14:anchorId="62EE700F" wp14:editId="704DE648">
            <wp:extent cx="5829300" cy="3857625"/>
            <wp:effectExtent l="0" t="0" r="0" b="0"/>
            <wp:docPr id="43"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5-27</w:t>
      </w:r>
      <w:r>
        <w:rPr>
          <w:rFonts w:cs="Times New Roman"/>
          <w:b/>
          <w:sz w:val="24"/>
        </w:rPr>
        <w:t>. Results of sensitivity analysis for diphacinone for proportion of dead gulls</w:t>
      </w:r>
      <w:r w:rsidR="00D73E49">
        <w:rPr>
          <w:rFonts w:cs="Times New Roman"/>
          <w:b/>
          <w:sz w:val="24"/>
        </w:rPr>
        <w:t xml:space="preserve"> exposed to diphacinone</w:t>
      </w:r>
      <w:r>
        <w:rPr>
          <w:rFonts w:cs="Times New Roman"/>
          <w:b/>
          <w:sz w:val="24"/>
        </w:rPr>
        <w:t>.</w:t>
      </w:r>
    </w:p>
    <w:p w:rsidR="00D52406" w:rsidRDefault="000F5480" w:rsidP="000F5480">
      <w:pPr>
        <w:jc w:val="center"/>
        <w:rPr>
          <w:rFonts w:cs="Times New Roman"/>
          <w:sz w:val="24"/>
        </w:rPr>
      </w:pPr>
      <w:r w:rsidRPr="000F5480">
        <w:rPr>
          <w:rFonts w:cs="Times New Roman"/>
          <w:noProof/>
          <w:sz w:val="24"/>
          <w:lang w:val="en-US"/>
        </w:rPr>
        <w:drawing>
          <wp:inline distT="0" distB="0" distL="0" distR="0" wp14:anchorId="77885B81" wp14:editId="452B4DBD">
            <wp:extent cx="5943600" cy="3846195"/>
            <wp:effectExtent l="0" t="0" r="0" b="0"/>
            <wp:docPr id="44"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5-28</w:t>
      </w:r>
      <w:r>
        <w:rPr>
          <w:rFonts w:cs="Times New Roman"/>
          <w:b/>
          <w:sz w:val="24"/>
        </w:rPr>
        <w:t xml:space="preserve">. </w:t>
      </w:r>
      <w:r w:rsidR="00373704">
        <w:rPr>
          <w:rFonts w:cs="Times New Roman"/>
          <w:b/>
          <w:sz w:val="24"/>
        </w:rPr>
        <w:t xml:space="preserve">Results of sensitivity </w:t>
      </w:r>
      <w:r>
        <w:rPr>
          <w:rFonts w:cs="Times New Roman"/>
          <w:b/>
          <w:sz w:val="24"/>
        </w:rPr>
        <w:t>analysis for diphacinone for number of dead gulls</w:t>
      </w:r>
      <w:r w:rsidR="00D73E49">
        <w:rPr>
          <w:rFonts w:cs="Times New Roman"/>
          <w:b/>
          <w:sz w:val="24"/>
        </w:rPr>
        <w:t xml:space="preserve"> exposed to diphacinone</w:t>
      </w:r>
      <w:r>
        <w:rPr>
          <w:rFonts w:cs="Times New Roman"/>
          <w:b/>
          <w:sz w:val="24"/>
        </w:rPr>
        <w:t>.</w:t>
      </w:r>
    </w:p>
    <w:p w:rsidR="00D52406" w:rsidRDefault="00D52406" w:rsidP="00D52406">
      <w:pPr>
        <w:jc w:val="center"/>
        <w:rPr>
          <w:rFonts w:cs="Times New Roman"/>
          <w:b/>
          <w:sz w:val="24"/>
        </w:rPr>
      </w:pPr>
    </w:p>
    <w:p w:rsidR="00D52406" w:rsidRPr="00EF395E" w:rsidRDefault="00A05F55" w:rsidP="00D52406">
      <w:pPr>
        <w:pStyle w:val="Heading3"/>
      </w:pPr>
      <w:bookmarkStart w:id="53" w:name="_Toc343007951"/>
      <w:r>
        <w:t>Data Gaps</w:t>
      </w:r>
      <w:bookmarkEnd w:id="53"/>
    </w:p>
    <w:p w:rsidR="00D52406" w:rsidRDefault="00D52406" w:rsidP="00D52406">
      <w:pPr>
        <w:rPr>
          <w:rFonts w:cs="Times New Roman"/>
          <w:sz w:val="24"/>
        </w:rPr>
      </w:pPr>
      <w:r>
        <w:rPr>
          <w:rFonts w:cs="Times New Roman"/>
          <w:sz w:val="24"/>
        </w:rPr>
        <w:t xml:space="preserve">Based on the results of the sensitivity analyses, we </w:t>
      </w:r>
      <w:r w:rsidR="00A05F55">
        <w:rPr>
          <w:rFonts w:cs="Times New Roman"/>
          <w:sz w:val="24"/>
        </w:rPr>
        <w:t>identified several data gaps for which more information would be beneficial to reduce uncertainty</w:t>
      </w:r>
      <w:r>
        <w:rPr>
          <w:rFonts w:cs="Times New Roman"/>
          <w:sz w:val="24"/>
        </w:rPr>
        <w:t>:</w:t>
      </w:r>
    </w:p>
    <w:p w:rsidR="00D52406" w:rsidRDefault="00D52406" w:rsidP="00D52406">
      <w:pPr>
        <w:pStyle w:val="ListParagraph"/>
        <w:numPr>
          <w:ilvl w:val="0"/>
          <w:numId w:val="28"/>
        </w:numPr>
        <w:rPr>
          <w:rFonts w:cs="Times New Roman"/>
          <w:sz w:val="24"/>
        </w:rPr>
      </w:pPr>
      <w:r>
        <w:rPr>
          <w:rFonts w:cs="Times New Roman"/>
          <w:sz w:val="24"/>
        </w:rPr>
        <w:t>Hazing effectiveness</w:t>
      </w:r>
    </w:p>
    <w:p w:rsidR="0027350D" w:rsidRDefault="00D239DD">
      <w:pPr>
        <w:pStyle w:val="ListParagraph"/>
        <w:numPr>
          <w:ilvl w:val="0"/>
          <w:numId w:val="28"/>
        </w:numPr>
        <w:rPr>
          <w:rFonts w:cs="Times New Roman"/>
          <w:sz w:val="24"/>
        </w:rPr>
      </w:pPr>
      <w:r w:rsidRPr="00D239DD">
        <w:rPr>
          <w:rFonts w:cs="Times New Roman"/>
          <w:sz w:val="24"/>
        </w:rPr>
        <w:t>LD50s for western gull for brodifacoum and diphacinone</w:t>
      </w:r>
    </w:p>
    <w:p w:rsidR="0027350D" w:rsidRDefault="00CC4D00">
      <w:pPr>
        <w:pStyle w:val="ListParagraph"/>
        <w:numPr>
          <w:ilvl w:val="0"/>
          <w:numId w:val="28"/>
        </w:numPr>
        <w:rPr>
          <w:rFonts w:cs="Times New Roman"/>
          <w:sz w:val="24"/>
        </w:rPr>
      </w:pPr>
      <w:r>
        <w:rPr>
          <w:rFonts w:cs="Times New Roman"/>
          <w:sz w:val="24"/>
        </w:rPr>
        <w:t>Daily probability of western gulls ingesting pellets</w:t>
      </w:r>
    </w:p>
    <w:p w:rsidR="00271CFF" w:rsidRPr="0099279C" w:rsidRDefault="00D239DD" w:rsidP="009B4B2B">
      <w:pPr>
        <w:spacing w:after="0"/>
        <w:rPr>
          <w:rFonts w:cs="Times New Roman"/>
          <w:sz w:val="24"/>
          <w:szCs w:val="24"/>
          <w:lang w:val="en-US"/>
        </w:rPr>
      </w:pPr>
      <w:r w:rsidRPr="00D239DD">
        <w:rPr>
          <w:rFonts w:cs="Times New Roman"/>
          <w:sz w:val="24"/>
          <w:szCs w:val="24"/>
          <w:lang w:val="en-US"/>
        </w:rPr>
        <w:t xml:space="preserve">In </w:t>
      </w:r>
      <w:r w:rsidR="005D1AB2">
        <w:rPr>
          <w:rFonts w:cs="Times New Roman"/>
          <w:sz w:val="24"/>
          <w:szCs w:val="24"/>
          <w:lang w:val="en-US"/>
        </w:rPr>
        <w:t xml:space="preserve">most </w:t>
      </w:r>
      <w:r w:rsidRPr="00D239DD">
        <w:rPr>
          <w:rFonts w:cs="Times New Roman"/>
          <w:sz w:val="24"/>
          <w:szCs w:val="24"/>
          <w:lang w:val="en-US"/>
        </w:rPr>
        <w:t>other projects involving ap</w:t>
      </w:r>
      <w:r w:rsidR="00271CFF" w:rsidRPr="0099279C">
        <w:rPr>
          <w:rFonts w:cs="Times New Roman"/>
          <w:sz w:val="24"/>
          <w:szCs w:val="24"/>
          <w:lang w:val="en-US"/>
        </w:rPr>
        <w:t>plication of rodenticides</w:t>
      </w:r>
      <w:r w:rsidR="005D1AB2">
        <w:rPr>
          <w:rFonts w:cs="Times New Roman"/>
          <w:sz w:val="24"/>
          <w:szCs w:val="24"/>
          <w:lang w:val="en-US"/>
        </w:rPr>
        <w:t>,</w:t>
      </w:r>
      <w:r w:rsidR="00271CFF" w:rsidRPr="0099279C">
        <w:rPr>
          <w:rFonts w:cs="Times New Roman"/>
          <w:sz w:val="24"/>
          <w:szCs w:val="24"/>
          <w:lang w:val="en-US"/>
        </w:rPr>
        <w:t xml:space="preserve"> gull</w:t>
      </w:r>
      <w:r w:rsidR="005D1AB2">
        <w:rPr>
          <w:rFonts w:cs="Times New Roman"/>
          <w:sz w:val="24"/>
          <w:szCs w:val="24"/>
          <w:lang w:val="en-US"/>
        </w:rPr>
        <w:t xml:space="preserve"> popul</w:t>
      </w:r>
      <w:r w:rsidR="00F636CE">
        <w:rPr>
          <w:rFonts w:cs="Times New Roman"/>
          <w:sz w:val="24"/>
          <w:szCs w:val="24"/>
          <w:lang w:val="en-US"/>
        </w:rPr>
        <w:t>a</w:t>
      </w:r>
      <w:r w:rsidR="005D1AB2">
        <w:rPr>
          <w:rFonts w:cs="Times New Roman"/>
          <w:sz w:val="24"/>
          <w:szCs w:val="24"/>
          <w:lang w:val="en-US"/>
        </w:rPr>
        <w:t>tions</w:t>
      </w:r>
      <w:r w:rsidR="00271CFF" w:rsidRPr="0099279C">
        <w:rPr>
          <w:rFonts w:cs="Times New Roman"/>
          <w:sz w:val="24"/>
          <w:szCs w:val="24"/>
          <w:lang w:val="en-US"/>
        </w:rPr>
        <w:t xml:space="preserve"> have not been significantly affected. For example, a western gull colony on Anacapa Island in southern California (approximately 2,500 birds; Sowls et al., 19</w:t>
      </w:r>
      <w:r w:rsidR="0024408A" w:rsidRPr="0099279C">
        <w:rPr>
          <w:rFonts w:cs="Times New Roman"/>
          <w:sz w:val="24"/>
          <w:szCs w:val="24"/>
          <w:lang w:val="en-US"/>
        </w:rPr>
        <w:t>8</w:t>
      </w:r>
      <w:r w:rsidR="00271CFF" w:rsidRPr="0099279C">
        <w:rPr>
          <w:rFonts w:cs="Times New Roman"/>
          <w:sz w:val="24"/>
          <w:szCs w:val="24"/>
          <w:lang w:val="en-US"/>
        </w:rPr>
        <w:t xml:space="preserve">0) was not significantly affected by a rat eradication project involving application of brodifacoum. In that project, there was a loss of only 2 </w:t>
      </w:r>
      <w:proofErr w:type="gramStart"/>
      <w:r w:rsidR="00271CFF" w:rsidRPr="0099279C">
        <w:rPr>
          <w:rFonts w:cs="Times New Roman"/>
          <w:sz w:val="24"/>
          <w:szCs w:val="24"/>
          <w:lang w:val="en-US"/>
        </w:rPr>
        <w:t>gulls</w:t>
      </w:r>
      <w:proofErr w:type="gramEnd"/>
      <w:r w:rsidR="00F636CE">
        <w:rPr>
          <w:rFonts w:cs="Times New Roman"/>
          <w:sz w:val="24"/>
          <w:szCs w:val="24"/>
          <w:lang w:val="en-US"/>
        </w:rPr>
        <w:t xml:space="preserve"> documented</w:t>
      </w:r>
      <w:r w:rsidR="00271CFF" w:rsidRPr="0099279C">
        <w:rPr>
          <w:rFonts w:cs="Times New Roman"/>
          <w:sz w:val="24"/>
          <w:szCs w:val="24"/>
          <w:lang w:val="en-US"/>
        </w:rPr>
        <w:t xml:space="preserve"> </w:t>
      </w:r>
      <w:r w:rsidR="00271CFF" w:rsidRPr="000B1F5B">
        <w:rPr>
          <w:rFonts w:cs="Times New Roman"/>
          <w:sz w:val="24"/>
          <w:szCs w:val="24"/>
          <w:lang w:val="en-US"/>
        </w:rPr>
        <w:t>(</w:t>
      </w:r>
      <w:r w:rsidR="000B1F5B">
        <w:rPr>
          <w:rFonts w:cs="Times New Roman"/>
          <w:sz w:val="24"/>
          <w:szCs w:val="24"/>
          <w:lang w:val="en-US"/>
        </w:rPr>
        <w:t>Howald et al. 2004</w:t>
      </w:r>
      <w:r w:rsidR="00271CFF" w:rsidRPr="000B1F5B">
        <w:rPr>
          <w:rFonts w:cs="Times New Roman"/>
          <w:sz w:val="24"/>
          <w:szCs w:val="24"/>
          <w:lang w:val="en-US"/>
        </w:rPr>
        <w:t>).</w:t>
      </w:r>
      <w:r w:rsidR="00271CFF" w:rsidRPr="0099279C">
        <w:rPr>
          <w:rFonts w:cs="Times New Roman"/>
          <w:sz w:val="24"/>
          <w:szCs w:val="24"/>
          <w:lang w:val="en-US"/>
        </w:rPr>
        <w:t xml:space="preserve"> Eason et al. (2002) reported individual gull mortalities in relation to brodifacoum-based rodent eradication projects, but there were no significant population-level effects</w:t>
      </w:r>
      <w:r w:rsidR="00574867">
        <w:rPr>
          <w:rFonts w:cs="Times New Roman"/>
          <w:sz w:val="24"/>
          <w:szCs w:val="24"/>
          <w:lang w:val="en-US"/>
        </w:rPr>
        <w:t xml:space="preserve"> In fact, there has never been a reported population level </w:t>
      </w:r>
      <w:r w:rsidR="00FB56C4">
        <w:rPr>
          <w:rFonts w:cs="Times New Roman"/>
          <w:sz w:val="24"/>
          <w:szCs w:val="24"/>
          <w:lang w:val="en-US"/>
        </w:rPr>
        <w:t>e</w:t>
      </w:r>
      <w:r w:rsidR="00574867">
        <w:rPr>
          <w:rFonts w:cs="Times New Roman"/>
          <w:sz w:val="24"/>
          <w:szCs w:val="24"/>
          <w:lang w:val="en-US"/>
        </w:rPr>
        <w:t xml:space="preserve">ffect to any gull species from a rodent eradication using </w:t>
      </w:r>
      <w:proofErr w:type="gramStart"/>
      <w:r w:rsidR="00574867">
        <w:rPr>
          <w:rFonts w:cs="Times New Roman"/>
          <w:sz w:val="24"/>
          <w:szCs w:val="24"/>
          <w:lang w:val="en-US"/>
        </w:rPr>
        <w:t>a rodent</w:t>
      </w:r>
      <w:proofErr w:type="gramEnd"/>
      <w:r w:rsidR="00574867">
        <w:rPr>
          <w:rFonts w:cs="Times New Roman"/>
          <w:sz w:val="24"/>
          <w:szCs w:val="24"/>
          <w:lang w:val="en-US"/>
        </w:rPr>
        <w:t xml:space="preserve"> bait. </w:t>
      </w:r>
      <w:r w:rsidR="00D55077" w:rsidRPr="0099279C">
        <w:rPr>
          <w:rFonts w:cs="Times New Roman"/>
          <w:sz w:val="24"/>
          <w:szCs w:val="24"/>
          <w:lang w:val="en-US"/>
        </w:rPr>
        <w:t>A number of factors could explain the discrepancy between the predictions of the western gull risk model and the general lack of gull incidents with previous rat eradication projects:</w:t>
      </w:r>
    </w:p>
    <w:p w:rsidR="00D55077" w:rsidRPr="0099279C" w:rsidRDefault="00D55077" w:rsidP="009B4B2B">
      <w:pPr>
        <w:spacing w:after="0"/>
        <w:rPr>
          <w:rFonts w:cs="Times New Roman"/>
          <w:sz w:val="24"/>
          <w:szCs w:val="24"/>
          <w:lang w:val="en-US"/>
        </w:rPr>
      </w:pPr>
    </w:p>
    <w:p w:rsidR="00D55077" w:rsidRPr="0099279C" w:rsidRDefault="00D55077"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 eradication projects </w:t>
      </w:r>
      <w:r w:rsidR="0024408A" w:rsidRPr="0099279C">
        <w:rPr>
          <w:rFonts w:cs="Times New Roman"/>
          <w:sz w:val="24"/>
          <w:szCs w:val="24"/>
          <w:lang w:val="en-US"/>
        </w:rPr>
        <w:t>often</w:t>
      </w:r>
      <w:r w:rsidRPr="0099279C">
        <w:rPr>
          <w:rFonts w:cs="Times New Roman"/>
          <w:sz w:val="24"/>
          <w:szCs w:val="24"/>
          <w:lang w:val="en-US"/>
        </w:rPr>
        <w:t xml:space="preserve"> relied on use of bait stations instead of aerial broadcast of brodifacoum pellets. </w:t>
      </w:r>
      <w:r w:rsidR="00D15FB8" w:rsidRPr="0099279C">
        <w:rPr>
          <w:rFonts w:cs="Times New Roman"/>
          <w:sz w:val="24"/>
          <w:szCs w:val="24"/>
          <w:lang w:val="en-US"/>
        </w:rPr>
        <w:t xml:space="preserve">Gulls are unable to access pellets in bait stations which would eliminate the </w:t>
      </w:r>
      <w:r w:rsidR="00CC4D00">
        <w:rPr>
          <w:rFonts w:cs="Times New Roman"/>
          <w:sz w:val="24"/>
          <w:szCs w:val="24"/>
          <w:lang w:val="en-US"/>
        </w:rPr>
        <w:t xml:space="preserve">most important route of exposure, the </w:t>
      </w:r>
      <w:r w:rsidR="00D15FB8" w:rsidRPr="0099279C">
        <w:rPr>
          <w:rFonts w:cs="Times New Roman"/>
          <w:sz w:val="24"/>
          <w:szCs w:val="24"/>
          <w:lang w:val="en-US"/>
        </w:rPr>
        <w:t>primary route of exposure.</w:t>
      </w:r>
      <w:r w:rsidR="00D774C2">
        <w:rPr>
          <w:rFonts w:cs="Times New Roman"/>
          <w:sz w:val="24"/>
          <w:szCs w:val="24"/>
          <w:lang w:val="en-US"/>
        </w:rPr>
        <w:t xml:space="preserve"> </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Because rats are much larger than mice, gulls may have been more reluctant to prey upon rats </w:t>
      </w:r>
      <w:r w:rsidR="0024408A" w:rsidRPr="0099279C">
        <w:rPr>
          <w:rFonts w:cs="Times New Roman"/>
          <w:sz w:val="24"/>
          <w:szCs w:val="24"/>
          <w:lang w:val="en-US"/>
        </w:rPr>
        <w:t xml:space="preserve">on other islands </w:t>
      </w:r>
      <w:r w:rsidRPr="0099279C">
        <w:rPr>
          <w:rFonts w:cs="Times New Roman"/>
          <w:sz w:val="24"/>
          <w:szCs w:val="24"/>
          <w:lang w:val="en-US"/>
        </w:rPr>
        <w:t xml:space="preserve">even if they </w:t>
      </w:r>
      <w:r w:rsidR="0024408A" w:rsidRPr="0099279C">
        <w:rPr>
          <w:rFonts w:cs="Times New Roman"/>
          <w:sz w:val="24"/>
          <w:szCs w:val="24"/>
          <w:lang w:val="en-US"/>
        </w:rPr>
        <w:t>we</w:t>
      </w:r>
      <w:r w:rsidRPr="0099279C">
        <w:rPr>
          <w:rFonts w:cs="Times New Roman"/>
          <w:sz w:val="24"/>
          <w:szCs w:val="24"/>
          <w:lang w:val="en-US"/>
        </w:rPr>
        <w:t>re intoxicated.</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islands may have had more frequent rainfall events which led to rapid breakdown and removal of pellets. Time to </w:t>
      </w:r>
      <w:r w:rsidR="00CC4D00">
        <w:rPr>
          <w:rFonts w:cs="Times New Roman"/>
          <w:sz w:val="24"/>
          <w:szCs w:val="24"/>
          <w:lang w:val="en-US"/>
        </w:rPr>
        <w:t xml:space="preserve">a </w:t>
      </w:r>
      <w:r w:rsidRPr="0099279C">
        <w:rPr>
          <w:rFonts w:cs="Times New Roman"/>
          <w:sz w:val="24"/>
          <w:szCs w:val="24"/>
          <w:lang w:val="en-US"/>
        </w:rPr>
        <w:t xml:space="preserve">significant rainfall event </w:t>
      </w:r>
      <w:r w:rsidR="00CC4D00">
        <w:rPr>
          <w:rFonts w:cs="Times New Roman"/>
          <w:sz w:val="24"/>
          <w:szCs w:val="24"/>
          <w:lang w:val="en-US"/>
        </w:rPr>
        <w:t xml:space="preserve">after the second application </w:t>
      </w:r>
      <w:r w:rsidRPr="0099279C">
        <w:rPr>
          <w:rFonts w:cs="Times New Roman"/>
          <w:sz w:val="24"/>
          <w:szCs w:val="24"/>
          <w:lang w:val="en-US"/>
        </w:rPr>
        <w:t>is a key variable in the western gull risk model affecting predicted exposure of gulls.</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The western gull population on </w:t>
      </w:r>
      <w:r w:rsidR="00BE7C91">
        <w:rPr>
          <w:rFonts w:cs="Times New Roman"/>
          <w:sz w:val="24"/>
          <w:szCs w:val="24"/>
          <w:lang w:val="en-US"/>
        </w:rPr>
        <w:t>SFI</w:t>
      </w:r>
      <w:r w:rsidRPr="0099279C">
        <w:rPr>
          <w:rFonts w:cs="Times New Roman"/>
          <w:sz w:val="24"/>
          <w:szCs w:val="24"/>
          <w:lang w:val="en-US"/>
        </w:rPr>
        <w:t xml:space="preserve"> is much larger than most gull populations on other islands</w:t>
      </w:r>
      <w:r w:rsidR="00BD2BE7">
        <w:rPr>
          <w:rFonts w:cs="Times New Roman"/>
          <w:sz w:val="24"/>
          <w:szCs w:val="24"/>
          <w:lang w:val="en-US"/>
        </w:rPr>
        <w:t>,</w:t>
      </w:r>
      <w:r w:rsidRPr="0099279C">
        <w:rPr>
          <w:rFonts w:cs="Times New Roman"/>
          <w:sz w:val="24"/>
          <w:szCs w:val="24"/>
          <w:lang w:val="en-US"/>
        </w:rPr>
        <w:t xml:space="preserve"> which increases the likelihood of gulls learning from each other on </w:t>
      </w:r>
      <w:r w:rsidR="00BE7C91">
        <w:rPr>
          <w:rFonts w:cs="Times New Roman"/>
          <w:sz w:val="24"/>
          <w:szCs w:val="24"/>
          <w:lang w:val="en-US"/>
        </w:rPr>
        <w:t>SFI</w:t>
      </w:r>
      <w:r w:rsidRPr="0099279C">
        <w:rPr>
          <w:rFonts w:cs="Times New Roman"/>
          <w:sz w:val="24"/>
          <w:szCs w:val="24"/>
          <w:lang w:val="en-US"/>
        </w:rPr>
        <w:t xml:space="preserve"> versus other islands. It also </w:t>
      </w:r>
      <w:r w:rsidR="00806B89" w:rsidRPr="0099279C">
        <w:rPr>
          <w:rFonts w:cs="Times New Roman"/>
          <w:sz w:val="24"/>
          <w:szCs w:val="24"/>
          <w:lang w:val="en-US"/>
        </w:rPr>
        <w:t>increases the likelihood of higher gull mortalities.</w:t>
      </w:r>
    </w:p>
    <w:p w:rsidR="00004C24" w:rsidRPr="0099279C" w:rsidRDefault="0024408A"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One or more a</w:t>
      </w:r>
      <w:r w:rsidR="00004C24" w:rsidRPr="0099279C">
        <w:rPr>
          <w:rFonts w:cs="Times New Roman"/>
          <w:sz w:val="24"/>
          <w:szCs w:val="24"/>
          <w:lang w:val="en-US"/>
        </w:rPr>
        <w:t xml:space="preserve">ssumptions in the western gull model </w:t>
      </w:r>
      <w:r w:rsidRPr="0099279C">
        <w:rPr>
          <w:rFonts w:cs="Times New Roman"/>
          <w:sz w:val="24"/>
          <w:szCs w:val="24"/>
          <w:lang w:val="en-US"/>
        </w:rPr>
        <w:t>could be</w:t>
      </w:r>
      <w:r w:rsidR="00004C24" w:rsidRPr="0099279C">
        <w:rPr>
          <w:rFonts w:cs="Times New Roman"/>
          <w:sz w:val="24"/>
          <w:szCs w:val="24"/>
          <w:lang w:val="en-US"/>
        </w:rPr>
        <w:t xml:space="preserve"> incorrect. Data were limited on several key components of the model (e.g., </w:t>
      </w:r>
      <w:r w:rsidR="00CC4D00">
        <w:rPr>
          <w:rFonts w:cs="Times New Roman"/>
          <w:sz w:val="24"/>
          <w:szCs w:val="24"/>
          <w:lang w:val="en-US"/>
        </w:rPr>
        <w:t xml:space="preserve">hazing effectiveness, </w:t>
      </w:r>
      <w:r w:rsidR="00004C24" w:rsidRPr="0099279C">
        <w:rPr>
          <w:rFonts w:cs="Times New Roman"/>
          <w:sz w:val="24"/>
          <w:szCs w:val="24"/>
          <w:lang w:val="en-US"/>
        </w:rPr>
        <w:t xml:space="preserve">daily probabilities of consuming pellets, </w:t>
      </w:r>
      <w:r w:rsidR="00CC4D00">
        <w:rPr>
          <w:rFonts w:cs="Times New Roman"/>
          <w:sz w:val="24"/>
          <w:szCs w:val="24"/>
          <w:lang w:val="en-US"/>
        </w:rPr>
        <w:t>LD50s</w:t>
      </w:r>
      <w:r w:rsidR="00004C24" w:rsidRPr="0099279C">
        <w:rPr>
          <w:rFonts w:cs="Times New Roman"/>
          <w:sz w:val="24"/>
          <w:szCs w:val="24"/>
          <w:lang w:val="en-US"/>
        </w:rPr>
        <w:t>). Although the use of best and worst case values attempted to bracket the uncertainty, there clearly is a need to conduct additional research to reduce uncertainty where possible in the model.</w:t>
      </w:r>
    </w:p>
    <w:p w:rsidR="00004C24" w:rsidRPr="0099279C" w:rsidRDefault="00004C24" w:rsidP="00004C24">
      <w:pPr>
        <w:spacing w:after="0"/>
        <w:rPr>
          <w:rFonts w:cs="Times New Roman"/>
          <w:sz w:val="24"/>
          <w:szCs w:val="24"/>
          <w:lang w:val="en-US"/>
        </w:rPr>
      </w:pPr>
    </w:p>
    <w:p w:rsidR="00004C24" w:rsidRPr="0099279C" w:rsidRDefault="00004C24" w:rsidP="00004C24">
      <w:pPr>
        <w:spacing w:after="0"/>
        <w:rPr>
          <w:rFonts w:cs="Times New Roman"/>
          <w:sz w:val="24"/>
          <w:szCs w:val="24"/>
          <w:lang w:val="en-US"/>
        </w:rPr>
      </w:pPr>
      <w:r w:rsidRPr="0099279C">
        <w:rPr>
          <w:rFonts w:cs="Times New Roman"/>
          <w:sz w:val="24"/>
          <w:szCs w:val="24"/>
          <w:lang w:val="en-US"/>
        </w:rPr>
        <w:t xml:space="preserve">In the event that additional research is carried out on key input parameters, the western gull risk model can be updated and additional runs undertaken to refine model predictions of mortality of western gulls on </w:t>
      </w:r>
      <w:r w:rsidR="00BE7C91">
        <w:rPr>
          <w:rFonts w:cs="Times New Roman"/>
          <w:sz w:val="24"/>
          <w:szCs w:val="24"/>
          <w:lang w:val="en-US"/>
        </w:rPr>
        <w:t>SFI</w:t>
      </w:r>
      <w:r w:rsidRPr="0099279C">
        <w:rPr>
          <w:rFonts w:cs="Times New Roman"/>
          <w:sz w:val="24"/>
          <w:szCs w:val="24"/>
          <w:lang w:val="en-US"/>
        </w:rPr>
        <w:t>.</w:t>
      </w:r>
    </w:p>
    <w:p w:rsidR="00ED041E" w:rsidRDefault="00ED041E">
      <w:pPr>
        <w:rPr>
          <w:rFonts w:cs="Times New Roman"/>
          <w:sz w:val="24"/>
          <w:szCs w:val="24"/>
        </w:rPr>
      </w:pPr>
    </w:p>
    <w:p w:rsidR="0027350D" w:rsidRDefault="00ED041E">
      <w:pPr>
        <w:pStyle w:val="Heading2"/>
      </w:pPr>
      <w:bookmarkStart w:id="54" w:name="_Toc343007952"/>
      <w:r>
        <w:t>Comparison of Effects of Brodifacoum and Diphacinone on Western Gull Mortality</w:t>
      </w:r>
      <w:bookmarkEnd w:id="54"/>
    </w:p>
    <w:p w:rsidR="003D214A" w:rsidRDefault="00846F16">
      <w:pPr>
        <w:rPr>
          <w:rFonts w:cs="Times New Roman"/>
          <w:sz w:val="24"/>
          <w:szCs w:val="24"/>
        </w:rPr>
      </w:pPr>
      <w:r>
        <w:rPr>
          <w:rFonts w:cs="Times New Roman"/>
          <w:sz w:val="24"/>
          <w:szCs w:val="24"/>
        </w:rPr>
        <w:t xml:space="preserve">One of the objectives of this assessment was to determine the relative risks of brodifacoum and diphacinone to western gulls on </w:t>
      </w:r>
      <w:r w:rsidR="00BE7C91">
        <w:rPr>
          <w:rFonts w:cs="Times New Roman"/>
          <w:sz w:val="24"/>
          <w:szCs w:val="24"/>
        </w:rPr>
        <w:t>SFI</w:t>
      </w:r>
      <w:r>
        <w:rPr>
          <w:rFonts w:cs="Times New Roman"/>
          <w:sz w:val="24"/>
          <w:szCs w:val="24"/>
        </w:rPr>
        <w:t>.</w:t>
      </w:r>
      <w:r w:rsidR="003D214A">
        <w:rPr>
          <w:rFonts w:cs="Times New Roman"/>
          <w:sz w:val="24"/>
          <w:szCs w:val="24"/>
        </w:rPr>
        <w:t xml:space="preserve"> It is somewhat difficult to compare the results presented in Appendices A and B because the diphacinone assessment was more conservative than the brodifacoum assessment. For example, because of limited data, the western gull risk model assumed that intoxicated mice do not go below ground after exposure to diphacinone whereas the brodifacoum model assumed that 87% of intoxicated mice go below ground. The LD50 assumed for diphacinone was based on a species unrelated to western gulls (i.e., American kestrel) and was highly conservative relative to other tested bird species. For brodifacoum, a conservative LD50 was also used but it was based on a gull species (i.e., laughing gull) and was reasonably close to the two other LD50s available for gull species (i.e., black-billed gull, southern black-backed gull).</w:t>
      </w:r>
    </w:p>
    <w:p w:rsidR="00AD117A" w:rsidRDefault="003D214A">
      <w:pPr>
        <w:rPr>
          <w:rFonts w:cs="Times New Roman"/>
          <w:sz w:val="24"/>
          <w:szCs w:val="24"/>
        </w:rPr>
      </w:pPr>
      <w:r>
        <w:rPr>
          <w:rFonts w:cs="Times New Roman"/>
          <w:sz w:val="24"/>
          <w:szCs w:val="24"/>
        </w:rPr>
        <w:t xml:space="preserve">In spite of the higher conservatism in the diphacinone </w:t>
      </w:r>
      <w:r w:rsidR="00D424A2">
        <w:rPr>
          <w:rFonts w:cs="Times New Roman"/>
          <w:sz w:val="24"/>
          <w:szCs w:val="24"/>
        </w:rPr>
        <w:t>model</w:t>
      </w:r>
      <w:r>
        <w:rPr>
          <w:rFonts w:cs="Times New Roman"/>
          <w:sz w:val="24"/>
          <w:szCs w:val="24"/>
        </w:rPr>
        <w:t>, the results from the western gull risk model clearly show that</w:t>
      </w:r>
      <w:r w:rsidR="00042049">
        <w:rPr>
          <w:rFonts w:cs="Times New Roman"/>
          <w:sz w:val="24"/>
          <w:szCs w:val="24"/>
        </w:rPr>
        <w:t xml:space="preserve"> diphacinone poses a lower risk to western gulls on </w:t>
      </w:r>
      <w:r w:rsidR="00BE7C91">
        <w:rPr>
          <w:rFonts w:cs="Times New Roman"/>
          <w:sz w:val="24"/>
          <w:szCs w:val="24"/>
        </w:rPr>
        <w:t>SFI</w:t>
      </w:r>
      <w:r w:rsidR="00042049">
        <w:rPr>
          <w:rFonts w:cs="Times New Roman"/>
          <w:sz w:val="24"/>
          <w:szCs w:val="24"/>
        </w:rPr>
        <w:t xml:space="preserve"> than does brodifacoum (Appendices A and B). </w:t>
      </w:r>
      <w:r w:rsidR="00AD117A">
        <w:rPr>
          <w:rFonts w:cs="Times New Roman"/>
          <w:sz w:val="24"/>
          <w:szCs w:val="24"/>
        </w:rPr>
        <w:t xml:space="preserve">Assuming an early </w:t>
      </w:r>
      <w:r w:rsidR="00704DB0">
        <w:rPr>
          <w:rFonts w:cs="Times New Roman"/>
          <w:sz w:val="24"/>
          <w:szCs w:val="24"/>
        </w:rPr>
        <w:t xml:space="preserve">initial </w:t>
      </w:r>
      <w:r w:rsidR="00AD117A">
        <w:rPr>
          <w:rFonts w:cs="Times New Roman"/>
          <w:sz w:val="24"/>
          <w:szCs w:val="24"/>
        </w:rPr>
        <w:t xml:space="preserve">application date (November 1) and </w:t>
      </w:r>
      <w:r w:rsidR="00D774C2">
        <w:rPr>
          <w:rFonts w:cs="Times New Roman"/>
          <w:sz w:val="24"/>
          <w:szCs w:val="24"/>
        </w:rPr>
        <w:t>75</w:t>
      </w:r>
      <w:r w:rsidR="00AD117A">
        <w:rPr>
          <w:rFonts w:cs="Times New Roman"/>
          <w:sz w:val="24"/>
          <w:szCs w:val="24"/>
        </w:rPr>
        <w:t xml:space="preserve">% hazing effectiveness, applications of diphacinone should not cause greater than 1700 gull mortalities (Figure 5-29). This would </w:t>
      </w:r>
      <w:r w:rsidR="00704DB0">
        <w:rPr>
          <w:rFonts w:cs="Times New Roman"/>
          <w:sz w:val="24"/>
          <w:szCs w:val="24"/>
        </w:rPr>
        <w:t>only</w:t>
      </w:r>
      <w:r w:rsidR="00AD117A">
        <w:rPr>
          <w:rFonts w:cs="Times New Roman"/>
          <w:sz w:val="24"/>
          <w:szCs w:val="24"/>
        </w:rPr>
        <w:t xml:space="preserve"> be the case with brodifacoum </w:t>
      </w:r>
      <w:r w:rsidR="00704DB0">
        <w:rPr>
          <w:rFonts w:cs="Times New Roman"/>
          <w:sz w:val="24"/>
          <w:szCs w:val="24"/>
        </w:rPr>
        <w:t xml:space="preserve">if a significant rainfall event occurs shortly after the second application </w:t>
      </w:r>
      <w:r w:rsidR="00AD117A">
        <w:rPr>
          <w:rFonts w:cs="Times New Roman"/>
          <w:sz w:val="24"/>
          <w:szCs w:val="24"/>
        </w:rPr>
        <w:t>(Figure 5-29).</w:t>
      </w:r>
      <w:r w:rsidR="00704DB0">
        <w:rPr>
          <w:rFonts w:cs="Times New Roman"/>
          <w:sz w:val="24"/>
          <w:szCs w:val="24"/>
        </w:rPr>
        <w:t xml:space="preserve"> If hazing success is 90%</w:t>
      </w:r>
      <w:r w:rsidR="00D774C2">
        <w:rPr>
          <w:rFonts w:cs="Times New Roman"/>
          <w:sz w:val="24"/>
          <w:szCs w:val="24"/>
        </w:rPr>
        <w:t xml:space="preserve"> or higher</w:t>
      </w:r>
      <w:r w:rsidR="00704DB0">
        <w:rPr>
          <w:rFonts w:cs="Times New Roman"/>
          <w:sz w:val="24"/>
          <w:szCs w:val="24"/>
        </w:rPr>
        <w:t>, neither rodenticide is likely to cause 1700 or greater gull mortalities irrespective of initial application date or</w:t>
      </w:r>
      <w:r w:rsidR="009A1587">
        <w:rPr>
          <w:rFonts w:cs="Times New Roman"/>
          <w:sz w:val="24"/>
          <w:szCs w:val="24"/>
        </w:rPr>
        <w:t xml:space="preserve"> time to first significant rainfall event after the </w:t>
      </w:r>
      <w:r w:rsidR="00D774C2">
        <w:rPr>
          <w:rFonts w:cs="Times New Roman"/>
          <w:sz w:val="24"/>
          <w:szCs w:val="24"/>
        </w:rPr>
        <w:t xml:space="preserve">final </w:t>
      </w:r>
      <w:r w:rsidR="009A1587">
        <w:rPr>
          <w:rFonts w:cs="Times New Roman"/>
          <w:sz w:val="24"/>
          <w:szCs w:val="24"/>
        </w:rPr>
        <w:t>application</w:t>
      </w:r>
      <w:r w:rsidR="00972B7D">
        <w:rPr>
          <w:rFonts w:cs="Times New Roman"/>
          <w:sz w:val="24"/>
          <w:szCs w:val="24"/>
        </w:rPr>
        <w:t xml:space="preserve"> (</w:t>
      </w:r>
      <w:r w:rsidR="00D774C2">
        <w:rPr>
          <w:rFonts w:cs="Times New Roman"/>
          <w:sz w:val="24"/>
          <w:szCs w:val="24"/>
        </w:rPr>
        <w:t xml:space="preserve">Figure 5-30; </w:t>
      </w:r>
      <w:r w:rsidR="00972B7D">
        <w:rPr>
          <w:rFonts w:cs="Times New Roman"/>
          <w:sz w:val="24"/>
          <w:szCs w:val="24"/>
        </w:rPr>
        <w:t>Appendices A and B)</w:t>
      </w:r>
      <w:r w:rsidR="009A1587">
        <w:rPr>
          <w:rFonts w:cs="Times New Roman"/>
          <w:sz w:val="24"/>
          <w:szCs w:val="24"/>
        </w:rPr>
        <w:t>.</w:t>
      </w:r>
    </w:p>
    <w:p w:rsidR="0027350D" w:rsidRDefault="0027350D">
      <w:pPr>
        <w:keepNext/>
      </w:pPr>
      <w:r>
        <w:rPr>
          <w:rFonts w:cs="Times New Roman"/>
          <w:noProof/>
          <w:sz w:val="24"/>
          <w:szCs w:val="24"/>
          <w:lang w:val="en-US"/>
        </w:rPr>
        <w:drawing>
          <wp:inline distT="0" distB="0" distL="0" distR="0" wp14:anchorId="69C3B81B" wp14:editId="147AD16F">
            <wp:extent cx="5943600" cy="3867785"/>
            <wp:effectExtent l="0" t="0" r="0"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27350D" w:rsidRDefault="00D239DD">
      <w:pPr>
        <w:pStyle w:val="Caption"/>
        <w:jc w:val="center"/>
        <w:rPr>
          <w:color w:val="auto"/>
          <w:sz w:val="24"/>
          <w:szCs w:val="24"/>
        </w:rPr>
      </w:pPr>
      <w:r w:rsidRPr="00D239DD">
        <w:rPr>
          <w:color w:val="auto"/>
          <w:sz w:val="24"/>
          <w:szCs w:val="24"/>
        </w:rPr>
        <w:t xml:space="preserve">Figure 5-29. </w:t>
      </w:r>
      <w:r w:rsidR="00C1432C">
        <w:rPr>
          <w:color w:val="auto"/>
          <w:sz w:val="24"/>
          <w:szCs w:val="24"/>
        </w:rPr>
        <w:t>Effects of time to significant rainfall event on p</w:t>
      </w:r>
      <w:r w:rsidRPr="00D239DD">
        <w:rPr>
          <w:color w:val="auto"/>
          <w:sz w:val="24"/>
          <w:szCs w:val="24"/>
        </w:rPr>
        <w:t xml:space="preserve">redicted gull mortality for brodifacoum and diphacinone assuming an initial application date of November 1 and 75% hazing success. </w:t>
      </w:r>
      <w:r w:rsidRPr="00D239DD">
        <w:rPr>
          <w:rFonts w:cs="Times New Roman"/>
          <w:color w:val="auto"/>
          <w:sz w:val="24"/>
          <w:szCs w:val="24"/>
          <w:lang w:val="en-US"/>
        </w:rPr>
        <w:t>The dashed line represents 1700 dead gulls.</w:t>
      </w:r>
    </w:p>
    <w:p w:rsidR="00ED26D2" w:rsidRDefault="00ED26D2">
      <w:pPr>
        <w:rPr>
          <w:rFonts w:cs="Times New Roman"/>
          <w:sz w:val="24"/>
          <w:szCs w:val="24"/>
        </w:rPr>
      </w:pPr>
      <w:r w:rsidRPr="0099279C">
        <w:rPr>
          <w:rFonts w:cs="Times New Roman"/>
          <w:sz w:val="24"/>
          <w:szCs w:val="24"/>
        </w:rPr>
        <w:br w:type="page"/>
      </w:r>
    </w:p>
    <w:p w:rsidR="006D1CFC" w:rsidRDefault="006D1CFC" w:rsidP="006D1CFC">
      <w:pPr>
        <w:keepNext/>
      </w:pPr>
      <w:r w:rsidRPr="006D1CFC">
        <w:rPr>
          <w:rFonts w:eastAsia="Times New Roman" w:cs="Times New Roman"/>
          <w:b/>
          <w:bCs/>
          <w:caps/>
          <w:noProof/>
          <w:kern w:val="32"/>
          <w:sz w:val="24"/>
          <w:szCs w:val="24"/>
          <w:lang w:val="en-US"/>
        </w:rPr>
        <w:drawing>
          <wp:inline distT="0" distB="0" distL="0" distR="0" wp14:anchorId="46C138D6" wp14:editId="7DAE3557">
            <wp:extent cx="5943600" cy="3867785"/>
            <wp:effectExtent l="0" t="0" r="0" b="0"/>
            <wp:docPr id="1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6D1CFC" w:rsidRDefault="006D1CFC" w:rsidP="006D1CFC">
      <w:pPr>
        <w:pStyle w:val="Caption"/>
        <w:jc w:val="center"/>
        <w:rPr>
          <w:color w:val="auto"/>
          <w:sz w:val="24"/>
          <w:szCs w:val="24"/>
        </w:rPr>
      </w:pPr>
      <w:r w:rsidRPr="006D1CFC">
        <w:rPr>
          <w:color w:val="auto"/>
          <w:sz w:val="24"/>
          <w:szCs w:val="24"/>
        </w:rPr>
        <w:t xml:space="preserve">Figure 5-30. </w:t>
      </w:r>
      <w:r w:rsidR="00C1432C">
        <w:rPr>
          <w:color w:val="auto"/>
          <w:sz w:val="24"/>
          <w:szCs w:val="24"/>
        </w:rPr>
        <w:t>Effects of time to significant rainfall event on p</w:t>
      </w:r>
      <w:r w:rsidRPr="006D1CFC">
        <w:rPr>
          <w:color w:val="auto"/>
          <w:sz w:val="24"/>
          <w:szCs w:val="24"/>
        </w:rPr>
        <w:t>redicted gull mortality for brodifacoum and diphacinone assuming an initial application date of November 1 and 90% hazing success. The dashed line represents 1700 dead gulls.</w:t>
      </w:r>
    </w:p>
    <w:p w:rsidR="006D1CFC" w:rsidRDefault="006D1CFC" w:rsidP="003D4D0A">
      <w:pPr>
        <w:pStyle w:val="Heading1"/>
        <w:sectPr w:rsidR="006D1CFC" w:rsidSect="00565C3A">
          <w:pgSz w:w="12240" w:h="15840"/>
          <w:pgMar w:top="1440" w:right="1440" w:bottom="1440" w:left="1440" w:header="708" w:footer="708" w:gutter="0"/>
          <w:cols w:space="708"/>
          <w:docGrid w:linePitch="360"/>
        </w:sectPr>
      </w:pPr>
      <w:bookmarkStart w:id="55" w:name="_Toc336445323"/>
      <w:bookmarkEnd w:id="55"/>
    </w:p>
    <w:p w:rsidR="00565C3A" w:rsidRPr="0099279C" w:rsidRDefault="0037403A" w:rsidP="003D4D0A">
      <w:pPr>
        <w:pStyle w:val="Heading1"/>
      </w:pPr>
      <w:bookmarkStart w:id="56" w:name="_Toc343007953"/>
      <w:r w:rsidRPr="0099279C">
        <w:t>CONCLUSIONS</w:t>
      </w:r>
      <w:bookmarkEnd w:id="56"/>
    </w:p>
    <w:p w:rsidR="0027350D" w:rsidRDefault="00477E5E" w:rsidP="00C1432C">
      <w:pPr>
        <w:rPr>
          <w:rFonts w:eastAsia="Times New Roman" w:cs="Times New Roman"/>
          <w:b/>
          <w:bCs/>
          <w:caps/>
          <w:kern w:val="32"/>
          <w:sz w:val="24"/>
          <w:szCs w:val="24"/>
          <w:lang w:val="en-US"/>
        </w:rPr>
      </w:pPr>
      <w:r>
        <w:rPr>
          <w:rFonts w:cs="Times New Roman"/>
          <w:sz w:val="24"/>
          <w:szCs w:val="24"/>
          <w:lang w:val="en-US"/>
        </w:rPr>
        <w:t xml:space="preserve">The likelihoods of brodifacoum and diphacinone applications achieving total eradication of mice on </w:t>
      </w:r>
      <w:r w:rsidR="00BE7C91">
        <w:rPr>
          <w:rFonts w:cs="Times New Roman"/>
          <w:sz w:val="24"/>
          <w:szCs w:val="24"/>
          <w:lang w:val="en-US"/>
        </w:rPr>
        <w:t>SFI</w:t>
      </w:r>
      <w:r>
        <w:rPr>
          <w:rFonts w:cs="Times New Roman"/>
          <w:sz w:val="24"/>
          <w:szCs w:val="24"/>
          <w:lang w:val="en-US"/>
        </w:rPr>
        <w:t xml:space="preserve"> were not considered in this assessment.</w:t>
      </w:r>
      <w:r w:rsidR="004505BE">
        <w:rPr>
          <w:rFonts w:cs="Times New Roman"/>
          <w:sz w:val="24"/>
          <w:szCs w:val="24"/>
          <w:lang w:val="en-US"/>
        </w:rPr>
        <w:t xml:space="preserve"> </w:t>
      </w:r>
      <w:r w:rsidR="00AA30EC">
        <w:rPr>
          <w:rFonts w:cs="Times New Roman"/>
          <w:sz w:val="24"/>
          <w:szCs w:val="24"/>
          <w:lang w:val="en-US"/>
        </w:rPr>
        <w:t>I</w:t>
      </w:r>
      <w:r w:rsidR="004505BE">
        <w:rPr>
          <w:rFonts w:cs="Times New Roman"/>
          <w:sz w:val="24"/>
          <w:szCs w:val="24"/>
          <w:lang w:val="en-US"/>
        </w:rPr>
        <w:t xml:space="preserve">t is also clear that </w:t>
      </w:r>
      <w:r w:rsidR="00AA30EC">
        <w:rPr>
          <w:rFonts w:cs="Times New Roman"/>
          <w:sz w:val="24"/>
          <w:szCs w:val="24"/>
          <w:lang w:val="en-US"/>
        </w:rPr>
        <w:t>brodifacoum</w:t>
      </w:r>
      <w:r w:rsidR="004505BE">
        <w:rPr>
          <w:rFonts w:cs="Times New Roman"/>
          <w:sz w:val="24"/>
          <w:szCs w:val="24"/>
          <w:lang w:val="en-US"/>
        </w:rPr>
        <w:t xml:space="preserve"> poses a higher risk to </w:t>
      </w:r>
      <w:r w:rsidR="0048362C">
        <w:rPr>
          <w:rFonts w:cs="Times New Roman"/>
          <w:sz w:val="24"/>
          <w:szCs w:val="24"/>
          <w:lang w:val="en-US"/>
        </w:rPr>
        <w:t xml:space="preserve">non-target </w:t>
      </w:r>
      <w:r w:rsidR="004505BE">
        <w:rPr>
          <w:rFonts w:cs="Times New Roman"/>
          <w:sz w:val="24"/>
          <w:szCs w:val="24"/>
          <w:lang w:val="en-US"/>
        </w:rPr>
        <w:t xml:space="preserve">western gulls than </w:t>
      </w:r>
      <w:proofErr w:type="gramStart"/>
      <w:r w:rsidR="004505BE">
        <w:rPr>
          <w:rFonts w:cs="Times New Roman"/>
          <w:sz w:val="24"/>
          <w:szCs w:val="24"/>
          <w:lang w:val="en-US"/>
        </w:rPr>
        <w:t>does</w:t>
      </w:r>
      <w:proofErr w:type="gramEnd"/>
      <w:r w:rsidR="004505BE">
        <w:rPr>
          <w:rFonts w:cs="Times New Roman"/>
          <w:sz w:val="24"/>
          <w:szCs w:val="24"/>
          <w:lang w:val="en-US"/>
        </w:rPr>
        <w:t xml:space="preserve"> diphacinone. </w:t>
      </w:r>
      <w:r w:rsidR="00C439A0" w:rsidRPr="00C439A0">
        <w:rPr>
          <w:rFonts w:cs="Times New Roman"/>
          <w:sz w:val="24"/>
          <w:szCs w:val="24"/>
          <w:lang w:val="en-US"/>
        </w:rPr>
        <w:t>To most effectively reduce gull mortalities</w:t>
      </w:r>
      <w:r w:rsidR="00C439A0">
        <w:rPr>
          <w:rFonts w:cs="Times New Roman"/>
          <w:sz w:val="24"/>
          <w:szCs w:val="24"/>
          <w:lang w:val="en-US"/>
        </w:rPr>
        <w:t>,</w:t>
      </w:r>
      <w:r w:rsidR="00C439A0" w:rsidRPr="00C439A0">
        <w:rPr>
          <w:rFonts w:cs="Times New Roman"/>
          <w:sz w:val="24"/>
          <w:szCs w:val="24"/>
          <w:lang w:val="en-US"/>
        </w:rPr>
        <w:t xml:space="preserve"> it would be advisable to consider having an effective gull hazing program, an early start date, and other measures to reduce gull exposure to bait, including some use of bait stations or possibly hand</w:t>
      </w:r>
      <w:r w:rsidR="00C439A0">
        <w:rPr>
          <w:rFonts w:cs="Times New Roman"/>
          <w:sz w:val="24"/>
          <w:szCs w:val="24"/>
          <w:lang w:val="en-US"/>
        </w:rPr>
        <w:t xml:space="preserve"> </w:t>
      </w:r>
      <w:r w:rsidR="00C439A0" w:rsidRPr="00C439A0">
        <w:rPr>
          <w:rFonts w:cs="Times New Roman"/>
          <w:sz w:val="24"/>
          <w:szCs w:val="24"/>
          <w:lang w:val="en-US"/>
        </w:rPr>
        <w:t xml:space="preserve">removal of bait pellets after several weeks, if any </w:t>
      </w:r>
      <w:r w:rsidR="00E5192C" w:rsidRPr="00E5192C">
        <w:rPr>
          <w:rFonts w:cs="Times New Roman"/>
          <w:sz w:val="24"/>
          <w:szCs w:val="24"/>
          <w:lang w:val="en-US"/>
        </w:rPr>
        <w:t>remain.</w:t>
      </w:r>
      <w:r w:rsidR="00F4404E">
        <w:rPr>
          <w:rFonts w:cs="Times New Roman"/>
          <w:sz w:val="24"/>
          <w:szCs w:val="24"/>
          <w:lang w:val="en-US"/>
        </w:rPr>
        <w:t xml:space="preserve"> Because the western gull risk model used conservative input parameters when exact values were unknown, it is likely that the model overestimated expected gull mortalities.</w:t>
      </w:r>
      <w:r w:rsidR="00E9636F">
        <w:rPr>
          <w:rFonts w:cs="Times New Roman"/>
          <w:sz w:val="24"/>
          <w:szCs w:val="24"/>
          <w:lang w:val="en-US"/>
        </w:rPr>
        <w:t xml:space="preserve"> Further, several important parameters that could affect uptake of rodenticide by gulls were not included in the model. For example, if plant cover is higher than usual at the time of application, gulls could have more trouble locating pellets, thus reducing exposure. Similarly, use of bait stations in some areas (e.g., where terrain is relatively flat and accessible) would reduce gull exposure. Use of bait stations on portions of SFI was not included in the model.</w:t>
      </w:r>
    </w:p>
    <w:p w:rsidR="0027350D" w:rsidRDefault="00D239DD">
      <w:pPr>
        <w:rPr>
          <w:rFonts w:eastAsia="Times New Roman" w:cs="Times New Roman"/>
          <w:b/>
          <w:bCs/>
          <w:caps/>
          <w:kern w:val="32"/>
          <w:sz w:val="24"/>
          <w:szCs w:val="24"/>
          <w:lang w:val="en-US"/>
        </w:rPr>
      </w:pPr>
      <w:r w:rsidRPr="00D239DD">
        <w:rPr>
          <w:rFonts w:cs="Times New Roman"/>
          <w:sz w:val="24"/>
          <w:szCs w:val="24"/>
        </w:rPr>
        <w:br w:type="page"/>
      </w:r>
    </w:p>
    <w:p w:rsidR="0037403A" w:rsidRPr="0099279C" w:rsidRDefault="0037403A" w:rsidP="003D4D0A">
      <w:pPr>
        <w:pStyle w:val="Heading1"/>
      </w:pPr>
      <w:bookmarkStart w:id="57" w:name="_Toc343007954"/>
      <w:r w:rsidRPr="0099279C">
        <w:t>REFERENCES</w:t>
      </w:r>
      <w:bookmarkEnd w:id="57"/>
    </w:p>
    <w:p w:rsidR="00F21D2B" w:rsidRPr="0099279C" w:rsidRDefault="00F21D2B" w:rsidP="0037403A">
      <w:pPr>
        <w:rPr>
          <w:rFonts w:cs="Times New Roman"/>
          <w:sz w:val="24"/>
          <w:szCs w:val="24"/>
          <w:lang w:val="en-US"/>
        </w:rPr>
      </w:pPr>
      <w:proofErr w:type="gramStart"/>
      <w:r w:rsidRPr="0099279C">
        <w:rPr>
          <w:rFonts w:cs="Times New Roman"/>
          <w:sz w:val="24"/>
          <w:szCs w:val="24"/>
          <w:lang w:val="en-US"/>
        </w:rPr>
        <w:t>Ainley, D.G. and T.J. Lewis.</w:t>
      </w:r>
      <w:proofErr w:type="gramEnd"/>
      <w:r w:rsidRPr="0099279C">
        <w:rPr>
          <w:rFonts w:cs="Times New Roman"/>
          <w:sz w:val="24"/>
          <w:szCs w:val="24"/>
          <w:lang w:val="en-US"/>
        </w:rPr>
        <w:t xml:space="preserve"> 1974. The history of Farallon Island marine bir</w:t>
      </w:r>
      <w:r w:rsidR="00BD2BE7">
        <w:rPr>
          <w:rFonts w:cs="Times New Roman"/>
          <w:sz w:val="24"/>
          <w:szCs w:val="24"/>
          <w:lang w:val="en-US"/>
        </w:rPr>
        <w:t xml:space="preserve">d populations 1843-1972. </w:t>
      </w:r>
      <w:r w:rsidR="00BD2BE7" w:rsidRPr="00BD2BE7">
        <w:rPr>
          <w:rFonts w:cs="Times New Roman"/>
          <w:i/>
          <w:sz w:val="24"/>
          <w:szCs w:val="24"/>
          <w:lang w:val="en-US"/>
        </w:rPr>
        <w:t>Condor</w:t>
      </w:r>
      <w:r w:rsidR="00BD2BE7">
        <w:rPr>
          <w:rFonts w:cs="Times New Roman"/>
          <w:sz w:val="24"/>
          <w:szCs w:val="24"/>
          <w:lang w:val="en-US"/>
        </w:rPr>
        <w:t xml:space="preserve">, </w:t>
      </w:r>
      <w:r w:rsidRPr="0099279C">
        <w:rPr>
          <w:rFonts w:cs="Times New Roman"/>
          <w:sz w:val="24"/>
          <w:szCs w:val="24"/>
          <w:lang w:val="en-US"/>
        </w:rPr>
        <w:t>76:432-446.</w:t>
      </w:r>
    </w:p>
    <w:p w:rsidR="001114BE" w:rsidRDefault="001114BE" w:rsidP="001114BE">
      <w:pPr>
        <w:rPr>
          <w:rFonts w:cs="Times New Roman"/>
          <w:sz w:val="24"/>
          <w:szCs w:val="24"/>
          <w:lang w:val="en-US"/>
        </w:rPr>
      </w:pPr>
      <w:proofErr w:type="gramStart"/>
      <w:r w:rsidRPr="0099279C">
        <w:rPr>
          <w:rFonts w:cs="Times New Roman"/>
          <w:sz w:val="24"/>
          <w:szCs w:val="24"/>
          <w:lang w:val="en-US"/>
        </w:rPr>
        <w:t>Ainley, D.G., C.S. Strong, T.M. Penniman and R.J. Boekelheide.</w:t>
      </w:r>
      <w:proofErr w:type="gramEnd"/>
      <w:r w:rsidRPr="0099279C">
        <w:rPr>
          <w:rFonts w:cs="Times New Roman"/>
          <w:sz w:val="24"/>
          <w:szCs w:val="24"/>
          <w:lang w:val="en-US"/>
        </w:rPr>
        <w:t xml:space="preserve"> 1990. The feeding ecology of Farallon seabirds. In: D.G. Ainley and R.J. Boekelheide, Eds, Seabirds of the Farallon Islands: Ecology, Dynamics, and Structure of an Upwelling System Community. </w:t>
      </w:r>
      <w:proofErr w:type="gramStart"/>
      <w:r w:rsidRPr="0099279C">
        <w:rPr>
          <w:rFonts w:cs="Times New Roman"/>
          <w:sz w:val="24"/>
          <w:szCs w:val="24"/>
          <w:lang w:val="en-US"/>
        </w:rPr>
        <w:t>Stanford University Press, Palo Alto, CA.</w:t>
      </w:r>
      <w:proofErr w:type="gramEnd"/>
    </w:p>
    <w:p w:rsidR="00E61C7D" w:rsidRPr="0099279C" w:rsidRDefault="00E61C7D" w:rsidP="0037403A">
      <w:pPr>
        <w:rPr>
          <w:rFonts w:cs="Times New Roman"/>
          <w:sz w:val="24"/>
          <w:szCs w:val="24"/>
          <w:lang w:val="en-US"/>
        </w:rPr>
      </w:pPr>
      <w:proofErr w:type="gramStart"/>
      <w:r w:rsidRPr="0099279C">
        <w:rPr>
          <w:rFonts w:cs="Times New Roman"/>
          <w:sz w:val="24"/>
          <w:szCs w:val="24"/>
          <w:lang w:val="en-US"/>
        </w:rPr>
        <w:t>Annett, C.A. and R. Pierotti.</w:t>
      </w:r>
      <w:proofErr w:type="gramEnd"/>
      <w:r w:rsidRPr="0099279C">
        <w:rPr>
          <w:rFonts w:cs="Times New Roman"/>
          <w:sz w:val="24"/>
          <w:szCs w:val="24"/>
          <w:lang w:val="en-US"/>
        </w:rPr>
        <w:t xml:space="preserve"> 1989. Chick hatching as a trigger for dietary switches in western gulls. </w:t>
      </w:r>
      <w:r w:rsidRPr="00BD2BE7">
        <w:rPr>
          <w:rFonts w:cs="Times New Roman"/>
          <w:i/>
          <w:sz w:val="24"/>
          <w:szCs w:val="24"/>
          <w:lang w:val="en-US"/>
        </w:rPr>
        <w:t>Colonial Waterbirds</w:t>
      </w:r>
      <w:r w:rsidR="00BD2BE7">
        <w:rPr>
          <w:rFonts w:cs="Times New Roman"/>
          <w:sz w:val="24"/>
          <w:szCs w:val="24"/>
          <w:lang w:val="en-US"/>
        </w:rPr>
        <w:t>,</w:t>
      </w:r>
      <w:r w:rsidRPr="0099279C">
        <w:rPr>
          <w:rFonts w:cs="Times New Roman"/>
          <w:sz w:val="24"/>
          <w:szCs w:val="24"/>
          <w:lang w:val="en-US"/>
        </w:rPr>
        <w:t xml:space="preserve"> 12:4-11.</w:t>
      </w:r>
    </w:p>
    <w:p w:rsidR="005A336C" w:rsidRPr="0099279C" w:rsidRDefault="005A336C" w:rsidP="005A336C">
      <w:pPr>
        <w:rPr>
          <w:rFonts w:cs="Times New Roman"/>
          <w:sz w:val="24"/>
          <w:szCs w:val="24"/>
          <w:lang w:val="en-US"/>
        </w:rPr>
      </w:pPr>
      <w:proofErr w:type="gramStart"/>
      <w:r w:rsidRPr="005A336C">
        <w:rPr>
          <w:rFonts w:cs="Times New Roman"/>
          <w:sz w:val="24"/>
          <w:szCs w:val="24"/>
          <w:lang w:val="en-US"/>
        </w:rPr>
        <w:t>Ashton</w:t>
      </w:r>
      <w:r>
        <w:rPr>
          <w:rFonts w:cs="Times New Roman"/>
          <w:sz w:val="24"/>
          <w:szCs w:val="24"/>
          <w:lang w:val="en-US"/>
        </w:rPr>
        <w:t>,</w:t>
      </w:r>
      <w:r w:rsidRPr="005A336C">
        <w:rPr>
          <w:rFonts w:cs="Times New Roman"/>
          <w:sz w:val="24"/>
          <w:szCs w:val="24"/>
          <w:lang w:val="en-US"/>
        </w:rPr>
        <w:t xml:space="preserve"> A.D., </w:t>
      </w:r>
      <w:r>
        <w:rPr>
          <w:rFonts w:cs="Times New Roman"/>
          <w:sz w:val="24"/>
          <w:szCs w:val="24"/>
          <w:lang w:val="en-US"/>
        </w:rPr>
        <w:t xml:space="preserve">W.B. </w:t>
      </w:r>
      <w:r w:rsidRPr="005A336C">
        <w:rPr>
          <w:rFonts w:cs="Times New Roman"/>
          <w:sz w:val="24"/>
          <w:szCs w:val="24"/>
          <w:lang w:val="en-US"/>
        </w:rPr>
        <w:t xml:space="preserve">Jackson </w:t>
      </w:r>
      <w:r>
        <w:rPr>
          <w:rFonts w:cs="Times New Roman"/>
          <w:sz w:val="24"/>
          <w:szCs w:val="24"/>
          <w:lang w:val="en-US"/>
        </w:rPr>
        <w:t>and H. Peters.</w:t>
      </w:r>
      <w:proofErr w:type="gramEnd"/>
      <w:r>
        <w:rPr>
          <w:rFonts w:cs="Times New Roman"/>
          <w:sz w:val="24"/>
          <w:szCs w:val="24"/>
          <w:lang w:val="en-US"/>
        </w:rPr>
        <w:t xml:space="preserve"> </w:t>
      </w:r>
      <w:r w:rsidRPr="005A336C">
        <w:rPr>
          <w:rFonts w:cs="Times New Roman"/>
          <w:sz w:val="24"/>
          <w:szCs w:val="24"/>
          <w:lang w:val="en-US"/>
        </w:rPr>
        <w:t>1987</w:t>
      </w:r>
      <w:r>
        <w:rPr>
          <w:rFonts w:cs="Times New Roman"/>
          <w:sz w:val="24"/>
          <w:szCs w:val="24"/>
          <w:lang w:val="en-US"/>
        </w:rPr>
        <w:t xml:space="preserve">. </w:t>
      </w:r>
      <w:r w:rsidRPr="005A336C">
        <w:rPr>
          <w:rFonts w:cs="Times New Roman"/>
          <w:sz w:val="24"/>
          <w:szCs w:val="24"/>
          <w:lang w:val="en-US"/>
        </w:rPr>
        <w:t>Comparative evaluation of LD50 values for</w:t>
      </w:r>
      <w:r>
        <w:rPr>
          <w:rFonts w:cs="Times New Roman"/>
          <w:sz w:val="24"/>
          <w:szCs w:val="24"/>
          <w:lang w:val="en-US"/>
        </w:rPr>
        <w:t xml:space="preserve"> </w:t>
      </w:r>
      <w:r w:rsidRPr="005A336C">
        <w:rPr>
          <w:rFonts w:cs="Times New Roman"/>
          <w:sz w:val="24"/>
          <w:szCs w:val="24"/>
          <w:lang w:val="en-US"/>
        </w:rPr>
        <w:t>various anticoagulant rodenticides. In: Control</w:t>
      </w:r>
      <w:r>
        <w:rPr>
          <w:rFonts w:cs="Times New Roman"/>
          <w:sz w:val="24"/>
          <w:szCs w:val="24"/>
          <w:lang w:val="en-US"/>
        </w:rPr>
        <w:t xml:space="preserve"> </w:t>
      </w:r>
      <w:r w:rsidRPr="005A336C">
        <w:rPr>
          <w:rFonts w:cs="Times New Roman"/>
          <w:sz w:val="24"/>
          <w:szCs w:val="24"/>
          <w:lang w:val="en-US"/>
        </w:rPr>
        <w:t>of Mammal Pests</w:t>
      </w:r>
      <w:r w:rsidR="00201CC8">
        <w:rPr>
          <w:rFonts w:cs="Times New Roman"/>
          <w:sz w:val="24"/>
          <w:szCs w:val="24"/>
          <w:lang w:val="en-US"/>
        </w:rPr>
        <w:t xml:space="preserve">, Eds, </w:t>
      </w:r>
      <w:r w:rsidR="00201CC8" w:rsidRPr="005A336C">
        <w:rPr>
          <w:rFonts w:cs="Times New Roman"/>
          <w:sz w:val="24"/>
          <w:szCs w:val="24"/>
          <w:lang w:val="en-US"/>
        </w:rPr>
        <w:t xml:space="preserve">C.G.J </w:t>
      </w:r>
      <w:r w:rsidRPr="005A336C">
        <w:rPr>
          <w:rFonts w:cs="Times New Roman"/>
          <w:sz w:val="24"/>
          <w:szCs w:val="24"/>
          <w:lang w:val="en-US"/>
        </w:rPr>
        <w:t>Richards</w:t>
      </w:r>
      <w:r w:rsidR="00201CC8">
        <w:rPr>
          <w:rFonts w:cs="Times New Roman"/>
          <w:sz w:val="24"/>
          <w:szCs w:val="24"/>
          <w:lang w:val="en-US"/>
        </w:rPr>
        <w:t xml:space="preserve"> and T.Y.</w:t>
      </w:r>
      <w:r w:rsidRPr="005A336C">
        <w:rPr>
          <w:rFonts w:cs="Times New Roman"/>
          <w:sz w:val="24"/>
          <w:szCs w:val="24"/>
          <w:lang w:val="en-US"/>
        </w:rPr>
        <w:t xml:space="preserve"> Ku</w:t>
      </w:r>
      <w:r w:rsidR="00201CC8">
        <w:rPr>
          <w:rFonts w:cs="Times New Roman"/>
          <w:sz w:val="24"/>
          <w:szCs w:val="24"/>
          <w:lang w:val="en-US"/>
        </w:rPr>
        <w:t>.</w:t>
      </w:r>
      <w:r w:rsidRPr="005A336C">
        <w:rPr>
          <w:rFonts w:cs="Times New Roman"/>
          <w:sz w:val="24"/>
          <w:szCs w:val="24"/>
          <w:lang w:val="en-US"/>
        </w:rPr>
        <w:t xml:space="preserve"> </w:t>
      </w:r>
      <w:proofErr w:type="gramStart"/>
      <w:r w:rsidRPr="005A336C">
        <w:rPr>
          <w:rFonts w:cs="Times New Roman"/>
          <w:sz w:val="24"/>
          <w:szCs w:val="24"/>
          <w:lang w:val="en-US"/>
        </w:rPr>
        <w:t xml:space="preserve">Taylor </w:t>
      </w:r>
      <w:r w:rsidR="00201CC8">
        <w:rPr>
          <w:rFonts w:cs="Times New Roman"/>
          <w:sz w:val="24"/>
          <w:szCs w:val="24"/>
          <w:lang w:val="en-US"/>
        </w:rPr>
        <w:t>and</w:t>
      </w:r>
      <w:r w:rsidRPr="005A336C">
        <w:rPr>
          <w:rFonts w:cs="Times New Roman"/>
          <w:sz w:val="24"/>
          <w:szCs w:val="24"/>
          <w:lang w:val="en-US"/>
        </w:rPr>
        <w:t xml:space="preserve"> Francis, London, </w:t>
      </w:r>
      <w:r w:rsidR="00201CC8">
        <w:rPr>
          <w:rFonts w:cs="Times New Roman"/>
          <w:sz w:val="24"/>
          <w:szCs w:val="24"/>
          <w:lang w:val="en-US"/>
        </w:rPr>
        <w:t xml:space="preserve">U.K. </w:t>
      </w:r>
      <w:r w:rsidRPr="005A336C">
        <w:rPr>
          <w:rFonts w:cs="Times New Roman"/>
          <w:sz w:val="24"/>
          <w:szCs w:val="24"/>
          <w:lang w:val="en-US"/>
        </w:rPr>
        <w:t>pp. 187-198.</w:t>
      </w:r>
      <w:proofErr w:type="gramEnd"/>
    </w:p>
    <w:p w:rsidR="0037403A" w:rsidRPr="0099279C" w:rsidRDefault="0062089F" w:rsidP="0037403A">
      <w:pPr>
        <w:rPr>
          <w:rFonts w:cs="Times New Roman"/>
          <w:sz w:val="24"/>
          <w:szCs w:val="24"/>
          <w:lang w:val="en-US"/>
        </w:rPr>
      </w:pPr>
      <w:proofErr w:type="gramStart"/>
      <w:r w:rsidRPr="0099279C">
        <w:rPr>
          <w:rFonts w:cs="Times New Roman"/>
          <w:sz w:val="24"/>
          <w:szCs w:val="24"/>
          <w:lang w:val="en-US"/>
        </w:rPr>
        <w:t>Bowie, M.H. and J.G. Ross.</w:t>
      </w:r>
      <w:proofErr w:type="gramEnd"/>
      <w:r w:rsidRPr="0099279C">
        <w:rPr>
          <w:rFonts w:cs="Times New Roman"/>
          <w:sz w:val="24"/>
          <w:szCs w:val="24"/>
          <w:lang w:val="en-US"/>
        </w:rPr>
        <w:t xml:space="preserve"> 2006. Identification of weta foraging on brodifacoum bait and the risk of secondary poisoning for birds on Quail Island, Canterbury, New Zealand. New Zealand </w:t>
      </w:r>
      <w:r w:rsidRPr="00BD2BE7">
        <w:rPr>
          <w:rFonts w:cs="Times New Roman"/>
          <w:i/>
          <w:sz w:val="24"/>
          <w:szCs w:val="24"/>
          <w:lang w:val="en-US"/>
        </w:rPr>
        <w:t>Journal of Ecology</w:t>
      </w:r>
      <w:r w:rsidR="00BD2BE7">
        <w:rPr>
          <w:rFonts w:cs="Times New Roman"/>
          <w:sz w:val="24"/>
          <w:szCs w:val="24"/>
          <w:lang w:val="en-US"/>
        </w:rPr>
        <w:t>,</w:t>
      </w:r>
      <w:r w:rsidRPr="0099279C">
        <w:rPr>
          <w:rFonts w:cs="Times New Roman"/>
          <w:sz w:val="24"/>
          <w:szCs w:val="24"/>
          <w:lang w:val="en-US"/>
        </w:rPr>
        <w:t xml:space="preserve"> 30:219-228.</w:t>
      </w:r>
    </w:p>
    <w:p w:rsidR="00A56E68" w:rsidRPr="0099279C" w:rsidRDefault="00A56E68" w:rsidP="0037403A">
      <w:pPr>
        <w:rPr>
          <w:rFonts w:cs="Times New Roman"/>
          <w:sz w:val="24"/>
          <w:szCs w:val="24"/>
          <w:lang w:val="en-US"/>
        </w:rPr>
      </w:pPr>
      <w:r w:rsidRPr="0099279C">
        <w:rPr>
          <w:rFonts w:cs="Times New Roman"/>
          <w:sz w:val="24"/>
          <w:szCs w:val="24"/>
          <w:lang w:val="en-US"/>
        </w:rPr>
        <w:t>Buckelew, S., G.R. Howald, A. Wegmann, J. Sheppard, J. Curl, P. McClelland, B. Tershy, K. Swift, E. Campbell and B. Flint. 2005. Progress in Palmyra Atoll restoration: Rat eradication trial 2005. Report to the US Fish and Wildlife Service by Island Conservation, Santa Cruz, CA.</w:t>
      </w:r>
    </w:p>
    <w:p w:rsidR="00DC09B7" w:rsidRDefault="00DC09B7" w:rsidP="0037403A">
      <w:pPr>
        <w:rPr>
          <w:rFonts w:cs="Times New Roman"/>
          <w:sz w:val="24"/>
          <w:szCs w:val="24"/>
          <w:lang w:val="en-US"/>
        </w:rPr>
      </w:pPr>
      <w:proofErr w:type="gramStart"/>
      <w:r w:rsidRPr="0099279C">
        <w:rPr>
          <w:rFonts w:cs="Times New Roman"/>
          <w:sz w:val="24"/>
          <w:szCs w:val="24"/>
          <w:lang w:val="en-US"/>
        </w:rPr>
        <w:t>Buckelew, S., G. Howald, S. MacLean, S. Ebbert and T.M. Primus.</w:t>
      </w:r>
      <w:proofErr w:type="gramEnd"/>
      <w:r w:rsidRPr="0099279C">
        <w:rPr>
          <w:rFonts w:cs="Times New Roman"/>
          <w:sz w:val="24"/>
          <w:szCs w:val="24"/>
          <w:lang w:val="en-US"/>
        </w:rPr>
        <w:t xml:space="preserve"> 2008. Progress in restoration of the Aleutian Islands: Trial rat eradication, Bay of Islands, Adak, Alaska, 2006. Report to the US Fish and Wildlife Service by Island Conservation, Santa Cruz, CA.</w:t>
      </w:r>
    </w:p>
    <w:p w:rsidR="0053401F" w:rsidRDefault="0053401F" w:rsidP="0053401F">
      <w:pPr>
        <w:rPr>
          <w:rFonts w:cs="Times New Roman"/>
          <w:sz w:val="24"/>
          <w:szCs w:val="24"/>
          <w:lang w:val="en-US"/>
        </w:rPr>
      </w:pPr>
      <w:proofErr w:type="gramStart"/>
      <w:r w:rsidRPr="0053401F">
        <w:rPr>
          <w:rFonts w:cs="Times New Roman"/>
          <w:sz w:val="24"/>
          <w:szCs w:val="24"/>
          <w:lang w:val="en-US"/>
        </w:rPr>
        <w:t>C</w:t>
      </w:r>
      <w:r w:rsidR="00CE2B7A">
        <w:rPr>
          <w:rFonts w:cs="Times New Roman"/>
          <w:sz w:val="24"/>
          <w:szCs w:val="24"/>
          <w:lang w:val="en-US"/>
        </w:rPr>
        <w:t>ampbell, S., K.</w:t>
      </w:r>
      <w:r w:rsidRPr="0053401F">
        <w:rPr>
          <w:rFonts w:cs="Times New Roman"/>
          <w:sz w:val="24"/>
          <w:szCs w:val="24"/>
          <w:lang w:val="en-US"/>
        </w:rPr>
        <w:t>A. H</w:t>
      </w:r>
      <w:r w:rsidR="00CE2B7A">
        <w:rPr>
          <w:rFonts w:cs="Times New Roman"/>
          <w:sz w:val="24"/>
          <w:szCs w:val="24"/>
          <w:lang w:val="en-US"/>
        </w:rPr>
        <w:t>oxster</w:t>
      </w:r>
      <w:r w:rsidRPr="0053401F">
        <w:rPr>
          <w:rFonts w:cs="Times New Roman"/>
          <w:sz w:val="24"/>
          <w:szCs w:val="24"/>
          <w:lang w:val="en-US"/>
        </w:rPr>
        <w:t xml:space="preserve"> and G. J. S</w:t>
      </w:r>
      <w:r w:rsidR="00CE2B7A">
        <w:rPr>
          <w:rFonts w:cs="Times New Roman"/>
          <w:sz w:val="24"/>
          <w:szCs w:val="24"/>
          <w:lang w:val="en-US"/>
        </w:rPr>
        <w:t>mith</w:t>
      </w:r>
      <w:r w:rsidRPr="0053401F">
        <w:rPr>
          <w:rFonts w:cs="Times New Roman"/>
          <w:sz w:val="24"/>
          <w:szCs w:val="24"/>
          <w:lang w:val="en-US"/>
        </w:rPr>
        <w:t>.</w:t>
      </w:r>
      <w:proofErr w:type="gramEnd"/>
      <w:r w:rsidRPr="0053401F">
        <w:rPr>
          <w:rFonts w:cs="Times New Roman"/>
          <w:sz w:val="24"/>
          <w:szCs w:val="24"/>
          <w:lang w:val="en-US"/>
        </w:rPr>
        <w:t xml:space="preserve"> 1991.</w:t>
      </w:r>
      <w:r>
        <w:rPr>
          <w:rFonts w:cs="Times New Roman"/>
          <w:sz w:val="24"/>
          <w:szCs w:val="24"/>
          <w:lang w:val="en-US"/>
        </w:rPr>
        <w:t xml:space="preserve"> </w:t>
      </w:r>
      <w:r w:rsidRPr="0053401F">
        <w:rPr>
          <w:rFonts w:cs="Times New Roman"/>
          <w:sz w:val="24"/>
          <w:szCs w:val="24"/>
          <w:lang w:val="en-US"/>
        </w:rPr>
        <w:t>Diphacinone technical: An acute oral toxicity study with</w:t>
      </w:r>
      <w:r>
        <w:rPr>
          <w:rFonts w:cs="Times New Roman"/>
          <w:sz w:val="24"/>
          <w:szCs w:val="24"/>
          <w:lang w:val="en-US"/>
        </w:rPr>
        <w:t xml:space="preserve"> </w:t>
      </w:r>
      <w:r w:rsidR="00CE2B7A">
        <w:rPr>
          <w:rFonts w:cs="Times New Roman"/>
          <w:sz w:val="24"/>
          <w:szCs w:val="24"/>
          <w:lang w:val="en-US"/>
        </w:rPr>
        <w:t>n</w:t>
      </w:r>
      <w:r w:rsidRPr="0053401F">
        <w:rPr>
          <w:rFonts w:cs="Times New Roman"/>
          <w:sz w:val="24"/>
          <w:szCs w:val="24"/>
          <w:lang w:val="en-US"/>
        </w:rPr>
        <w:t xml:space="preserve">orthern bobwhite. </w:t>
      </w:r>
      <w:proofErr w:type="gramStart"/>
      <w:r w:rsidRPr="0053401F">
        <w:rPr>
          <w:rFonts w:cs="Times New Roman"/>
          <w:sz w:val="24"/>
          <w:szCs w:val="24"/>
          <w:lang w:val="en-US"/>
        </w:rPr>
        <w:t>Wildlife International, Easton, MD.</w:t>
      </w:r>
      <w:proofErr w:type="gramEnd"/>
      <w:r>
        <w:rPr>
          <w:rFonts w:cs="Times New Roman"/>
          <w:sz w:val="24"/>
          <w:szCs w:val="24"/>
          <w:lang w:val="en-US"/>
        </w:rPr>
        <w:t xml:space="preserve"> </w:t>
      </w:r>
      <w:r w:rsidRPr="0053401F">
        <w:rPr>
          <w:rFonts w:cs="Times New Roman"/>
          <w:sz w:val="24"/>
          <w:szCs w:val="24"/>
          <w:lang w:val="en-US"/>
        </w:rPr>
        <w:t>Project No. 284-103. Submitted by Bell Laboratories, Inc.,</w:t>
      </w:r>
      <w:r>
        <w:rPr>
          <w:rFonts w:cs="Times New Roman"/>
          <w:sz w:val="24"/>
          <w:szCs w:val="24"/>
          <w:lang w:val="en-US"/>
        </w:rPr>
        <w:t xml:space="preserve"> </w:t>
      </w:r>
      <w:r w:rsidRPr="0053401F">
        <w:rPr>
          <w:rFonts w:cs="Times New Roman"/>
          <w:sz w:val="24"/>
          <w:szCs w:val="24"/>
          <w:lang w:val="en-US"/>
        </w:rPr>
        <w:t xml:space="preserve">Madison WI. EPA MRID 422452-01. </w:t>
      </w:r>
    </w:p>
    <w:p w:rsidR="00A13F24" w:rsidRPr="0099279C" w:rsidRDefault="00A13F24" w:rsidP="00A13F24">
      <w:pPr>
        <w:rPr>
          <w:rFonts w:cs="Times New Roman"/>
          <w:sz w:val="24"/>
          <w:szCs w:val="24"/>
          <w:lang w:val="en-US"/>
        </w:rPr>
      </w:pPr>
      <w:r w:rsidRPr="00A13F24">
        <w:rPr>
          <w:rFonts w:cs="Times New Roman"/>
          <w:sz w:val="24"/>
          <w:szCs w:val="24"/>
          <w:lang w:val="en-US"/>
        </w:rPr>
        <w:t>Chipman</w:t>
      </w:r>
      <w:r>
        <w:rPr>
          <w:rFonts w:cs="Times New Roman"/>
          <w:sz w:val="24"/>
          <w:szCs w:val="24"/>
          <w:lang w:val="en-US"/>
        </w:rPr>
        <w:t xml:space="preserve">, R.B., </w:t>
      </w:r>
      <w:r w:rsidRPr="00A13F24">
        <w:rPr>
          <w:rFonts w:cs="Times New Roman"/>
          <w:sz w:val="24"/>
          <w:szCs w:val="24"/>
          <w:lang w:val="en-US"/>
        </w:rPr>
        <w:t>R</w:t>
      </w:r>
      <w:r>
        <w:rPr>
          <w:rFonts w:cs="Times New Roman"/>
          <w:sz w:val="24"/>
          <w:szCs w:val="24"/>
          <w:lang w:val="en-US"/>
        </w:rPr>
        <w:t>.</w:t>
      </w:r>
      <w:r w:rsidRPr="00A13F24">
        <w:rPr>
          <w:rFonts w:cs="Times New Roman"/>
          <w:sz w:val="24"/>
          <w:szCs w:val="24"/>
          <w:lang w:val="en-US"/>
        </w:rPr>
        <w:t>A. Dolbeer</w:t>
      </w:r>
      <w:r>
        <w:rPr>
          <w:rFonts w:cs="Times New Roman"/>
          <w:sz w:val="24"/>
          <w:szCs w:val="24"/>
          <w:lang w:val="en-US"/>
        </w:rPr>
        <w:t xml:space="preserve">, </w:t>
      </w:r>
      <w:r w:rsidRPr="00A13F24">
        <w:rPr>
          <w:rFonts w:cs="Times New Roman"/>
          <w:sz w:val="24"/>
          <w:szCs w:val="24"/>
          <w:lang w:val="en-US"/>
        </w:rPr>
        <w:t>K</w:t>
      </w:r>
      <w:r>
        <w:rPr>
          <w:rFonts w:cs="Times New Roman"/>
          <w:sz w:val="24"/>
          <w:szCs w:val="24"/>
          <w:lang w:val="en-US"/>
        </w:rPr>
        <w:t>.</w:t>
      </w:r>
      <w:r w:rsidRPr="00A13F24">
        <w:rPr>
          <w:rFonts w:cs="Times New Roman"/>
          <w:sz w:val="24"/>
          <w:szCs w:val="24"/>
          <w:lang w:val="en-US"/>
        </w:rPr>
        <w:t>J. Preusser, D</w:t>
      </w:r>
      <w:r>
        <w:rPr>
          <w:rFonts w:cs="Times New Roman"/>
          <w:sz w:val="24"/>
          <w:szCs w:val="24"/>
          <w:lang w:val="en-US"/>
        </w:rPr>
        <w:t>.</w:t>
      </w:r>
      <w:r w:rsidRPr="00A13F24">
        <w:rPr>
          <w:rFonts w:cs="Times New Roman"/>
          <w:sz w:val="24"/>
          <w:szCs w:val="24"/>
          <w:lang w:val="en-US"/>
        </w:rPr>
        <w:t>P. Sullivan, E</w:t>
      </w:r>
      <w:r>
        <w:rPr>
          <w:rFonts w:cs="Times New Roman"/>
          <w:sz w:val="24"/>
          <w:szCs w:val="24"/>
          <w:lang w:val="en-US"/>
        </w:rPr>
        <w:t>.</w:t>
      </w:r>
      <w:r w:rsidRPr="00A13F24">
        <w:rPr>
          <w:rFonts w:cs="Times New Roman"/>
          <w:sz w:val="24"/>
          <w:szCs w:val="24"/>
          <w:lang w:val="en-US"/>
        </w:rPr>
        <w:t>D. Losito</w:t>
      </w:r>
      <w:r>
        <w:rPr>
          <w:rFonts w:cs="Times New Roman"/>
          <w:sz w:val="24"/>
          <w:szCs w:val="24"/>
          <w:lang w:val="en-US"/>
        </w:rPr>
        <w:t>,</w:t>
      </w:r>
      <w:r w:rsidRPr="00A13F24">
        <w:rPr>
          <w:rFonts w:cs="Times New Roman"/>
          <w:sz w:val="24"/>
          <w:szCs w:val="24"/>
          <w:lang w:val="en-US"/>
        </w:rPr>
        <w:t xml:space="preserve"> A</w:t>
      </w:r>
      <w:r>
        <w:rPr>
          <w:rFonts w:cs="Times New Roman"/>
          <w:sz w:val="24"/>
          <w:szCs w:val="24"/>
          <w:lang w:val="en-US"/>
        </w:rPr>
        <w:t>.</w:t>
      </w:r>
      <w:r w:rsidRPr="00A13F24">
        <w:rPr>
          <w:rFonts w:cs="Times New Roman"/>
          <w:sz w:val="24"/>
          <w:szCs w:val="24"/>
          <w:lang w:val="en-US"/>
        </w:rPr>
        <w:t>L. Gosser</w:t>
      </w:r>
      <w:r>
        <w:rPr>
          <w:rFonts w:cs="Times New Roman"/>
          <w:sz w:val="24"/>
          <w:szCs w:val="24"/>
          <w:lang w:val="en-US"/>
        </w:rPr>
        <w:t xml:space="preserve"> and </w:t>
      </w:r>
      <w:r w:rsidRPr="00A13F24">
        <w:rPr>
          <w:rFonts w:cs="Times New Roman"/>
          <w:sz w:val="24"/>
          <w:szCs w:val="24"/>
          <w:lang w:val="en-US"/>
        </w:rPr>
        <w:t>T</w:t>
      </w:r>
      <w:r>
        <w:rPr>
          <w:rFonts w:cs="Times New Roman"/>
          <w:sz w:val="24"/>
          <w:szCs w:val="24"/>
          <w:lang w:val="en-US"/>
        </w:rPr>
        <w:t>.</w:t>
      </w:r>
      <w:r w:rsidRPr="00A13F24">
        <w:rPr>
          <w:rFonts w:cs="Times New Roman"/>
          <w:sz w:val="24"/>
          <w:szCs w:val="24"/>
          <w:lang w:val="en-US"/>
        </w:rPr>
        <w:t>W. Seamans</w:t>
      </w:r>
      <w:r>
        <w:rPr>
          <w:rFonts w:cs="Times New Roman"/>
          <w:sz w:val="24"/>
          <w:szCs w:val="24"/>
          <w:lang w:val="en-US"/>
        </w:rPr>
        <w:t xml:space="preserve">. 2004. </w:t>
      </w:r>
      <w:r w:rsidRPr="00A13F24">
        <w:rPr>
          <w:rFonts w:cs="Times New Roman"/>
          <w:sz w:val="24"/>
          <w:szCs w:val="24"/>
          <w:lang w:val="en-US"/>
        </w:rPr>
        <w:t xml:space="preserve">Emergency </w:t>
      </w:r>
      <w:r>
        <w:rPr>
          <w:rFonts w:cs="Times New Roman"/>
          <w:sz w:val="24"/>
          <w:szCs w:val="24"/>
          <w:lang w:val="en-US"/>
        </w:rPr>
        <w:t>w</w:t>
      </w:r>
      <w:r w:rsidRPr="00A13F24">
        <w:rPr>
          <w:rFonts w:cs="Times New Roman"/>
          <w:sz w:val="24"/>
          <w:szCs w:val="24"/>
          <w:lang w:val="en-US"/>
        </w:rPr>
        <w:t xml:space="preserve">ildlife </w:t>
      </w:r>
      <w:r>
        <w:rPr>
          <w:rFonts w:cs="Times New Roman"/>
          <w:sz w:val="24"/>
          <w:szCs w:val="24"/>
          <w:lang w:val="en-US"/>
        </w:rPr>
        <w:t>m</w:t>
      </w:r>
      <w:r w:rsidRPr="00A13F24">
        <w:rPr>
          <w:rFonts w:cs="Times New Roman"/>
          <w:sz w:val="24"/>
          <w:szCs w:val="24"/>
          <w:lang w:val="en-US"/>
        </w:rPr>
        <w:t xml:space="preserve">anagement </w:t>
      </w:r>
      <w:r>
        <w:rPr>
          <w:rFonts w:cs="Times New Roman"/>
          <w:sz w:val="24"/>
          <w:szCs w:val="24"/>
          <w:lang w:val="en-US"/>
        </w:rPr>
        <w:t>r</w:t>
      </w:r>
      <w:r w:rsidRPr="00A13F24">
        <w:rPr>
          <w:rFonts w:cs="Times New Roman"/>
          <w:sz w:val="24"/>
          <w:szCs w:val="24"/>
          <w:lang w:val="en-US"/>
        </w:rPr>
        <w:t xml:space="preserve">esponse to </w:t>
      </w:r>
      <w:r>
        <w:rPr>
          <w:rFonts w:cs="Times New Roman"/>
          <w:sz w:val="24"/>
          <w:szCs w:val="24"/>
          <w:lang w:val="en-US"/>
        </w:rPr>
        <w:t>p</w:t>
      </w:r>
      <w:r w:rsidRPr="00A13F24">
        <w:rPr>
          <w:rFonts w:cs="Times New Roman"/>
          <w:sz w:val="24"/>
          <w:szCs w:val="24"/>
          <w:lang w:val="en-US"/>
        </w:rPr>
        <w:t xml:space="preserve">rotect </w:t>
      </w:r>
      <w:r>
        <w:rPr>
          <w:rFonts w:cs="Times New Roman"/>
          <w:sz w:val="24"/>
          <w:szCs w:val="24"/>
          <w:lang w:val="en-US"/>
        </w:rPr>
        <w:t>e</w:t>
      </w:r>
      <w:r w:rsidRPr="00A13F24">
        <w:rPr>
          <w:rFonts w:cs="Times New Roman"/>
          <w:sz w:val="24"/>
          <w:szCs w:val="24"/>
          <w:lang w:val="en-US"/>
        </w:rPr>
        <w:t>vidence</w:t>
      </w:r>
      <w:r>
        <w:rPr>
          <w:rFonts w:cs="Times New Roman"/>
          <w:sz w:val="24"/>
          <w:szCs w:val="24"/>
          <w:lang w:val="en-US"/>
        </w:rPr>
        <w:t xml:space="preserve"> a</w:t>
      </w:r>
      <w:r w:rsidRPr="00A13F24">
        <w:rPr>
          <w:rFonts w:cs="Times New Roman"/>
          <w:sz w:val="24"/>
          <w:szCs w:val="24"/>
          <w:lang w:val="en-US"/>
        </w:rPr>
        <w:t xml:space="preserve">ssociated with the </w:t>
      </w:r>
      <w:r>
        <w:rPr>
          <w:rFonts w:cs="Times New Roman"/>
          <w:sz w:val="24"/>
          <w:szCs w:val="24"/>
          <w:lang w:val="en-US"/>
        </w:rPr>
        <w:t>t</w:t>
      </w:r>
      <w:r w:rsidRPr="00A13F24">
        <w:rPr>
          <w:rFonts w:cs="Times New Roman"/>
          <w:sz w:val="24"/>
          <w:szCs w:val="24"/>
          <w:lang w:val="en-US"/>
        </w:rPr>
        <w:t xml:space="preserve">errorist </w:t>
      </w:r>
      <w:r>
        <w:rPr>
          <w:rFonts w:cs="Times New Roman"/>
          <w:sz w:val="24"/>
          <w:szCs w:val="24"/>
          <w:lang w:val="en-US"/>
        </w:rPr>
        <w:t>a</w:t>
      </w:r>
      <w:r w:rsidRPr="00A13F24">
        <w:rPr>
          <w:rFonts w:cs="Times New Roman"/>
          <w:sz w:val="24"/>
          <w:szCs w:val="24"/>
          <w:lang w:val="en-US"/>
        </w:rPr>
        <w:t>ttack on the World Trade Center,</w:t>
      </w:r>
      <w:r>
        <w:rPr>
          <w:rFonts w:cs="Times New Roman"/>
          <w:sz w:val="24"/>
          <w:szCs w:val="24"/>
          <w:lang w:val="en-US"/>
        </w:rPr>
        <w:t xml:space="preserve"> </w:t>
      </w:r>
      <w:r w:rsidRPr="00A13F24">
        <w:rPr>
          <w:rFonts w:cs="Times New Roman"/>
          <w:sz w:val="24"/>
          <w:szCs w:val="24"/>
          <w:lang w:val="en-US"/>
        </w:rPr>
        <w:t>New York City</w:t>
      </w:r>
      <w:r>
        <w:rPr>
          <w:rFonts w:cs="Times New Roman"/>
          <w:sz w:val="24"/>
          <w:szCs w:val="24"/>
          <w:lang w:val="en-US"/>
        </w:rPr>
        <w:t xml:space="preserve">. </w:t>
      </w:r>
      <w:r w:rsidR="00D24F61" w:rsidRPr="00D24F61">
        <w:rPr>
          <w:rFonts w:cs="Times New Roman"/>
          <w:i/>
          <w:sz w:val="24"/>
          <w:szCs w:val="24"/>
          <w:lang w:val="en-US"/>
        </w:rPr>
        <w:t>Proceedings of the 21</w:t>
      </w:r>
      <w:r w:rsidR="00D24F61" w:rsidRPr="00D24F61">
        <w:rPr>
          <w:rFonts w:cs="Times New Roman"/>
          <w:i/>
          <w:sz w:val="24"/>
          <w:szCs w:val="24"/>
          <w:vertAlign w:val="superscript"/>
          <w:lang w:val="en-US"/>
        </w:rPr>
        <w:t>st</w:t>
      </w:r>
      <w:r w:rsidR="00D24F61" w:rsidRPr="00D24F61">
        <w:rPr>
          <w:rFonts w:cs="Times New Roman"/>
          <w:i/>
          <w:sz w:val="24"/>
          <w:szCs w:val="24"/>
          <w:lang w:val="en-US"/>
        </w:rPr>
        <w:t xml:space="preserve"> Vertebrate Pest Conference</w:t>
      </w:r>
      <w:r w:rsidR="0075732D">
        <w:rPr>
          <w:rFonts w:cs="Times New Roman"/>
          <w:sz w:val="24"/>
          <w:szCs w:val="24"/>
          <w:lang w:val="en-US"/>
        </w:rPr>
        <w:t>, 21:</w:t>
      </w:r>
      <w:r w:rsidR="0075732D" w:rsidRPr="0075732D">
        <w:rPr>
          <w:rFonts w:cs="Times New Roman"/>
          <w:sz w:val="24"/>
          <w:szCs w:val="24"/>
          <w:lang w:val="en-US"/>
        </w:rPr>
        <w:t>281-286</w:t>
      </w:r>
      <w:r w:rsidR="0075732D">
        <w:rPr>
          <w:rFonts w:cs="Times New Roman"/>
          <w:sz w:val="24"/>
          <w:szCs w:val="24"/>
          <w:lang w:val="en-US"/>
        </w:rPr>
        <w:t>.</w:t>
      </w:r>
    </w:p>
    <w:p w:rsidR="007169F7" w:rsidRDefault="007169F7" w:rsidP="0037403A">
      <w:pPr>
        <w:rPr>
          <w:rFonts w:cs="Times New Roman"/>
          <w:sz w:val="24"/>
          <w:szCs w:val="24"/>
          <w:lang w:val="en-US"/>
        </w:rPr>
      </w:pPr>
      <w:proofErr w:type="gramStart"/>
      <w:r w:rsidRPr="0099279C">
        <w:rPr>
          <w:rFonts w:cs="Times New Roman"/>
          <w:sz w:val="24"/>
          <w:szCs w:val="24"/>
          <w:lang w:val="en-US"/>
        </w:rPr>
        <w:t>Cotter, S.C. 1979.</w:t>
      </w:r>
      <w:proofErr w:type="gramEnd"/>
      <w:r w:rsidRPr="0099279C">
        <w:rPr>
          <w:rFonts w:cs="Times New Roman"/>
          <w:sz w:val="24"/>
          <w:szCs w:val="24"/>
          <w:lang w:val="en-US"/>
        </w:rPr>
        <w:t xml:space="preserve"> A screening design for factorial experiments with interactions. </w:t>
      </w:r>
      <w:r w:rsidRPr="00BD2BE7">
        <w:rPr>
          <w:rFonts w:cs="Times New Roman"/>
          <w:i/>
          <w:sz w:val="24"/>
          <w:szCs w:val="24"/>
          <w:lang w:val="en-US"/>
        </w:rPr>
        <w:t>Biometrika</w:t>
      </w:r>
      <w:r w:rsidR="00BD2BE7">
        <w:rPr>
          <w:rFonts w:cs="Times New Roman"/>
          <w:sz w:val="24"/>
          <w:szCs w:val="24"/>
          <w:lang w:val="en-US"/>
        </w:rPr>
        <w:t>,</w:t>
      </w:r>
      <w:r w:rsidRPr="0099279C">
        <w:rPr>
          <w:rFonts w:cs="Times New Roman"/>
          <w:sz w:val="24"/>
          <w:szCs w:val="24"/>
          <w:lang w:val="en-US"/>
        </w:rPr>
        <w:t xml:space="preserve"> 66:317-320.</w:t>
      </w:r>
    </w:p>
    <w:p w:rsidR="007133D1" w:rsidRPr="0099279C" w:rsidRDefault="007133D1" w:rsidP="007133D1">
      <w:pPr>
        <w:rPr>
          <w:rFonts w:cs="Times New Roman"/>
          <w:sz w:val="24"/>
          <w:szCs w:val="24"/>
          <w:lang w:val="en-US"/>
        </w:rPr>
      </w:pPr>
      <w:proofErr w:type="gramStart"/>
      <w:r w:rsidRPr="007133D1">
        <w:rPr>
          <w:rFonts w:cs="Times New Roman"/>
          <w:sz w:val="24"/>
          <w:szCs w:val="24"/>
          <w:lang w:val="en-US"/>
        </w:rPr>
        <w:t>Curtis, P</w:t>
      </w:r>
      <w:r w:rsidR="00E37191">
        <w:rPr>
          <w:rFonts w:cs="Times New Roman"/>
          <w:sz w:val="24"/>
          <w:szCs w:val="24"/>
          <w:lang w:val="en-US"/>
        </w:rPr>
        <w:t>.</w:t>
      </w:r>
      <w:r w:rsidRPr="007133D1">
        <w:rPr>
          <w:rFonts w:cs="Times New Roman"/>
          <w:sz w:val="24"/>
          <w:szCs w:val="24"/>
          <w:lang w:val="en-US"/>
        </w:rPr>
        <w:t>D.</w:t>
      </w:r>
      <w:r w:rsidR="00E37191">
        <w:rPr>
          <w:rFonts w:cs="Times New Roman"/>
          <w:sz w:val="24"/>
          <w:szCs w:val="24"/>
          <w:lang w:val="en-US"/>
        </w:rPr>
        <w:t>,</w:t>
      </w:r>
      <w:r w:rsidRPr="007133D1">
        <w:rPr>
          <w:rFonts w:cs="Times New Roman"/>
          <w:sz w:val="24"/>
          <w:szCs w:val="24"/>
          <w:lang w:val="en-US"/>
        </w:rPr>
        <w:t xml:space="preserve"> </w:t>
      </w:r>
      <w:r w:rsidR="00E37191">
        <w:rPr>
          <w:rFonts w:cs="Times New Roman"/>
          <w:sz w:val="24"/>
          <w:szCs w:val="24"/>
          <w:lang w:val="en-US"/>
        </w:rPr>
        <w:t xml:space="preserve">C.R. </w:t>
      </w:r>
      <w:r w:rsidRPr="007133D1">
        <w:rPr>
          <w:rFonts w:cs="Times New Roman"/>
          <w:sz w:val="24"/>
          <w:szCs w:val="24"/>
          <w:lang w:val="en-US"/>
        </w:rPr>
        <w:t>Smith</w:t>
      </w:r>
      <w:r w:rsidR="00E37191">
        <w:rPr>
          <w:rFonts w:cs="Times New Roman"/>
          <w:sz w:val="24"/>
          <w:szCs w:val="24"/>
          <w:lang w:val="en-US"/>
        </w:rPr>
        <w:t xml:space="preserve"> and W. Evans.</w:t>
      </w:r>
      <w:proofErr w:type="gramEnd"/>
      <w:r w:rsidR="00E37191">
        <w:rPr>
          <w:rFonts w:cs="Times New Roman"/>
          <w:sz w:val="24"/>
          <w:szCs w:val="24"/>
          <w:lang w:val="en-US"/>
        </w:rPr>
        <w:t xml:space="preserve"> 1995. </w:t>
      </w:r>
      <w:r w:rsidR="00E37191" w:rsidRPr="007133D1">
        <w:rPr>
          <w:rFonts w:cs="Times New Roman"/>
          <w:sz w:val="24"/>
          <w:szCs w:val="24"/>
          <w:lang w:val="en-US"/>
        </w:rPr>
        <w:t xml:space="preserve">Techniques for reducing bird use at </w:t>
      </w:r>
      <w:r w:rsidR="00E37191">
        <w:rPr>
          <w:rFonts w:cs="Times New Roman"/>
          <w:sz w:val="24"/>
          <w:szCs w:val="24"/>
          <w:lang w:val="en-US"/>
        </w:rPr>
        <w:t>N</w:t>
      </w:r>
      <w:r w:rsidR="00E37191" w:rsidRPr="007133D1">
        <w:rPr>
          <w:rFonts w:cs="Times New Roman"/>
          <w:sz w:val="24"/>
          <w:szCs w:val="24"/>
          <w:lang w:val="en-US"/>
        </w:rPr>
        <w:t>anticoke</w:t>
      </w:r>
      <w:r>
        <w:rPr>
          <w:rFonts w:cs="Times New Roman"/>
          <w:sz w:val="24"/>
          <w:szCs w:val="24"/>
          <w:lang w:val="en-US"/>
        </w:rPr>
        <w:t xml:space="preserve"> </w:t>
      </w:r>
      <w:r w:rsidR="00E37191" w:rsidRPr="007133D1">
        <w:rPr>
          <w:rFonts w:cs="Times New Roman"/>
          <w:sz w:val="24"/>
          <w:szCs w:val="24"/>
          <w:lang w:val="en-US"/>
        </w:rPr>
        <w:t xml:space="preserve">landfill near </w:t>
      </w:r>
      <w:r w:rsidR="00E37191">
        <w:rPr>
          <w:rFonts w:cs="Times New Roman"/>
          <w:sz w:val="24"/>
          <w:szCs w:val="24"/>
          <w:lang w:val="en-US"/>
        </w:rPr>
        <w:t>E.</w:t>
      </w:r>
      <w:r w:rsidR="00E37191" w:rsidRPr="007133D1">
        <w:rPr>
          <w:rFonts w:cs="Times New Roman"/>
          <w:sz w:val="24"/>
          <w:szCs w:val="24"/>
          <w:lang w:val="en-US"/>
        </w:rPr>
        <w:t xml:space="preserve">A. Link </w:t>
      </w:r>
      <w:r w:rsidR="00E37191">
        <w:rPr>
          <w:rFonts w:cs="Times New Roman"/>
          <w:sz w:val="24"/>
          <w:szCs w:val="24"/>
          <w:lang w:val="en-US"/>
        </w:rPr>
        <w:t>A</w:t>
      </w:r>
      <w:r w:rsidR="00E37191" w:rsidRPr="007133D1">
        <w:rPr>
          <w:rFonts w:cs="Times New Roman"/>
          <w:sz w:val="24"/>
          <w:szCs w:val="24"/>
          <w:lang w:val="en-US"/>
        </w:rPr>
        <w:t xml:space="preserve">irport, </w:t>
      </w:r>
      <w:r w:rsidR="00E37191">
        <w:rPr>
          <w:rFonts w:cs="Times New Roman"/>
          <w:sz w:val="24"/>
          <w:szCs w:val="24"/>
          <w:lang w:val="en-US"/>
        </w:rPr>
        <w:t>B</w:t>
      </w:r>
      <w:r w:rsidR="00E37191" w:rsidRPr="007133D1">
        <w:rPr>
          <w:rFonts w:cs="Times New Roman"/>
          <w:sz w:val="24"/>
          <w:szCs w:val="24"/>
          <w:lang w:val="en-US"/>
        </w:rPr>
        <w:t xml:space="preserve">roome </w:t>
      </w:r>
      <w:r w:rsidR="00E37191">
        <w:rPr>
          <w:rFonts w:cs="Times New Roman"/>
          <w:sz w:val="24"/>
          <w:szCs w:val="24"/>
          <w:lang w:val="en-US"/>
        </w:rPr>
        <w:t>County, New York</w:t>
      </w:r>
      <w:r w:rsidRPr="007133D1">
        <w:rPr>
          <w:rFonts w:cs="Times New Roman"/>
          <w:sz w:val="24"/>
          <w:szCs w:val="24"/>
          <w:lang w:val="en-US"/>
        </w:rPr>
        <w:t xml:space="preserve">. </w:t>
      </w:r>
      <w:r w:rsidR="00D24F61" w:rsidRPr="00D24F61">
        <w:rPr>
          <w:rFonts w:cs="Times New Roman"/>
          <w:i/>
          <w:sz w:val="24"/>
          <w:szCs w:val="24"/>
          <w:lang w:val="en-US"/>
        </w:rPr>
        <w:t>Sixth Eastern Wildlife Damage Control Conference</w:t>
      </w:r>
      <w:r w:rsidR="00E37191">
        <w:rPr>
          <w:rFonts w:cs="Times New Roman"/>
          <w:sz w:val="24"/>
          <w:szCs w:val="24"/>
          <w:lang w:val="en-US"/>
        </w:rPr>
        <w:t xml:space="preserve">, </w:t>
      </w:r>
      <w:r w:rsidR="00E37191" w:rsidRPr="00E37191">
        <w:rPr>
          <w:rFonts w:cs="Times New Roman"/>
          <w:sz w:val="24"/>
          <w:szCs w:val="24"/>
          <w:lang w:val="en-US"/>
        </w:rPr>
        <w:t>6:67-78.</w:t>
      </w:r>
      <w:r w:rsidRPr="007133D1">
        <w:rPr>
          <w:rFonts w:cs="Times New Roman"/>
          <w:sz w:val="24"/>
          <w:szCs w:val="24"/>
          <w:lang w:val="en-US"/>
        </w:rPr>
        <w:t xml:space="preserve"> </w:t>
      </w:r>
    </w:p>
    <w:p w:rsidR="0057798A" w:rsidRPr="0099279C" w:rsidRDefault="0057798A" w:rsidP="0037403A">
      <w:pPr>
        <w:rPr>
          <w:rFonts w:cs="Times New Roman"/>
          <w:sz w:val="24"/>
          <w:szCs w:val="24"/>
          <w:lang w:val="en-US"/>
        </w:rPr>
      </w:pPr>
      <w:proofErr w:type="gramStart"/>
      <w:r w:rsidRPr="0099279C">
        <w:rPr>
          <w:rFonts w:cs="Times New Roman"/>
          <w:sz w:val="24"/>
          <w:szCs w:val="24"/>
          <w:lang w:val="en-US"/>
        </w:rPr>
        <w:t>Daltry, J.C. 2006.</w:t>
      </w:r>
      <w:proofErr w:type="gramEnd"/>
      <w:r w:rsidRPr="0099279C">
        <w:rPr>
          <w:rFonts w:cs="Times New Roman"/>
          <w:sz w:val="24"/>
          <w:szCs w:val="24"/>
          <w:lang w:val="en-US"/>
        </w:rPr>
        <w:t xml:space="preserve"> Control of the black rat </w:t>
      </w:r>
      <w:r w:rsidRPr="0099279C">
        <w:rPr>
          <w:rFonts w:cs="Times New Roman"/>
          <w:i/>
          <w:sz w:val="24"/>
          <w:szCs w:val="24"/>
          <w:lang w:val="en-US"/>
        </w:rPr>
        <w:t>Rattus rattus</w:t>
      </w:r>
      <w:r w:rsidRPr="0099279C">
        <w:rPr>
          <w:rFonts w:cs="Times New Roman"/>
          <w:sz w:val="24"/>
          <w:szCs w:val="24"/>
          <w:lang w:val="en-US"/>
        </w:rPr>
        <w:t xml:space="preserve"> for the conservation of the Antiguan racer </w:t>
      </w:r>
      <w:r w:rsidRPr="0099279C">
        <w:rPr>
          <w:rFonts w:cs="Times New Roman"/>
          <w:i/>
          <w:sz w:val="24"/>
          <w:szCs w:val="24"/>
          <w:lang w:val="en-US"/>
        </w:rPr>
        <w:t>Alsophis antiguae</w:t>
      </w:r>
      <w:r w:rsidRPr="0099279C">
        <w:rPr>
          <w:rFonts w:cs="Times New Roman"/>
          <w:sz w:val="24"/>
          <w:szCs w:val="24"/>
          <w:lang w:val="en-US"/>
        </w:rPr>
        <w:t xml:space="preserve"> on Great Bird Island, Antigua. </w:t>
      </w:r>
      <w:r w:rsidRPr="00BD2BE7">
        <w:rPr>
          <w:rFonts w:cs="Times New Roman"/>
          <w:i/>
          <w:sz w:val="24"/>
          <w:szCs w:val="24"/>
          <w:lang w:val="en-US"/>
        </w:rPr>
        <w:t>Conservation Evidence</w:t>
      </w:r>
      <w:r w:rsidR="00BD2BE7">
        <w:rPr>
          <w:rFonts w:cs="Times New Roman"/>
          <w:sz w:val="24"/>
          <w:szCs w:val="24"/>
          <w:lang w:val="en-US"/>
        </w:rPr>
        <w:t>,</w:t>
      </w:r>
      <w:r w:rsidRPr="0099279C">
        <w:rPr>
          <w:rFonts w:cs="Times New Roman"/>
          <w:sz w:val="24"/>
          <w:szCs w:val="24"/>
          <w:lang w:val="en-US"/>
        </w:rPr>
        <w:t xml:space="preserve"> 3:28-29.</w:t>
      </w:r>
    </w:p>
    <w:p w:rsidR="0062089F" w:rsidRPr="0099279C" w:rsidRDefault="0062089F" w:rsidP="0037403A">
      <w:pPr>
        <w:rPr>
          <w:rFonts w:cs="Times New Roman"/>
          <w:sz w:val="24"/>
          <w:szCs w:val="24"/>
          <w:lang w:val="en-US"/>
        </w:rPr>
      </w:pPr>
      <w:proofErr w:type="gramStart"/>
      <w:r w:rsidRPr="0099279C">
        <w:rPr>
          <w:rFonts w:cs="Times New Roman"/>
          <w:sz w:val="24"/>
          <w:szCs w:val="24"/>
          <w:lang w:val="en-US"/>
        </w:rPr>
        <w:t>Eason, C.T., E.C. Murphy, G.R.G. Wright and E.B. Spurr.</w:t>
      </w:r>
      <w:proofErr w:type="gramEnd"/>
      <w:r w:rsidRPr="0099279C">
        <w:rPr>
          <w:rFonts w:cs="Times New Roman"/>
          <w:sz w:val="24"/>
          <w:szCs w:val="24"/>
          <w:lang w:val="en-US"/>
        </w:rPr>
        <w:t xml:space="preserve"> 2002. Assessment of risks of brodifacoum to non-target birds and mammals in New Zealand. </w:t>
      </w:r>
      <w:r w:rsidRPr="00BD2BE7">
        <w:rPr>
          <w:rFonts w:cs="Times New Roman"/>
          <w:i/>
          <w:sz w:val="24"/>
          <w:szCs w:val="24"/>
          <w:lang w:val="en-US"/>
        </w:rPr>
        <w:t>Ecotoxicology</w:t>
      </w:r>
      <w:r w:rsidR="00BD2BE7">
        <w:rPr>
          <w:rFonts w:cs="Times New Roman"/>
          <w:sz w:val="24"/>
          <w:szCs w:val="24"/>
          <w:lang w:val="en-US"/>
        </w:rPr>
        <w:t>,</w:t>
      </w:r>
      <w:r w:rsidRPr="0099279C">
        <w:rPr>
          <w:rFonts w:cs="Times New Roman"/>
          <w:sz w:val="24"/>
          <w:szCs w:val="24"/>
          <w:lang w:val="en-US"/>
        </w:rPr>
        <w:t xml:space="preserve"> 11:35-48.</w:t>
      </w:r>
    </w:p>
    <w:p w:rsidR="00551DFD" w:rsidRPr="0099279C" w:rsidRDefault="00551DFD" w:rsidP="0037403A">
      <w:pPr>
        <w:rPr>
          <w:rFonts w:cs="Times New Roman"/>
          <w:sz w:val="24"/>
          <w:szCs w:val="24"/>
          <w:lang w:val="en-US"/>
        </w:rPr>
      </w:pPr>
      <w:proofErr w:type="gramStart"/>
      <w:r w:rsidRPr="0099279C">
        <w:rPr>
          <w:rFonts w:cs="Times New Roman"/>
          <w:sz w:val="24"/>
          <w:szCs w:val="24"/>
          <w:lang w:val="en-US"/>
        </w:rPr>
        <w:t>Ebbert, S., A. Sowls and V. Byrd.</w:t>
      </w:r>
      <w:proofErr w:type="gramEnd"/>
      <w:r w:rsidRPr="0099279C">
        <w:rPr>
          <w:rFonts w:cs="Times New Roman"/>
          <w:sz w:val="24"/>
          <w:szCs w:val="24"/>
          <w:lang w:val="en-US"/>
        </w:rPr>
        <w:t xml:space="preserve"> 2007. Alaska’s rat spill response program. In: Managing Vertebrate Invasive Species Proceedings of an International Symposium. </w:t>
      </w:r>
      <w:proofErr w:type="gramStart"/>
      <w:r w:rsidRPr="0099279C">
        <w:rPr>
          <w:rFonts w:cs="Times New Roman"/>
          <w:sz w:val="24"/>
          <w:szCs w:val="24"/>
          <w:lang w:val="en-US"/>
        </w:rPr>
        <w:t>USDA, APHIS, WS, National Wildlife Research Center, Fort Collins, Colorado, USA.</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3332–3337.</w:t>
      </w:r>
    </w:p>
    <w:p w:rsidR="00566224" w:rsidRPr="0099279C" w:rsidRDefault="00566224" w:rsidP="0062089F">
      <w:pPr>
        <w:rPr>
          <w:rFonts w:cs="Times New Roman"/>
          <w:sz w:val="24"/>
          <w:szCs w:val="24"/>
          <w:lang w:val="en-US"/>
        </w:rPr>
      </w:pPr>
      <w:proofErr w:type="gramStart"/>
      <w:r w:rsidRPr="0099279C">
        <w:rPr>
          <w:rFonts w:cs="Times New Roman"/>
          <w:sz w:val="24"/>
          <w:szCs w:val="24"/>
          <w:lang w:val="en-US"/>
        </w:rPr>
        <w:t>ECOFRAM (Ecological Committee on FIFRA Risk Assessment Methods).</w:t>
      </w:r>
      <w:proofErr w:type="gramEnd"/>
      <w:r w:rsidRPr="0099279C">
        <w:rPr>
          <w:rFonts w:cs="Times New Roman"/>
          <w:sz w:val="24"/>
          <w:szCs w:val="24"/>
          <w:lang w:val="en-US"/>
        </w:rPr>
        <w:t xml:space="preserve"> 1999. Terrestrial Draft Report. </w:t>
      </w:r>
      <w:hyperlink r:id="rId54" w:history="1">
        <w:r w:rsidR="00956963" w:rsidRPr="0099279C">
          <w:rPr>
            <w:rStyle w:val="Hyperlink"/>
            <w:rFonts w:cs="Times New Roman"/>
            <w:sz w:val="24"/>
            <w:szCs w:val="24"/>
            <w:lang w:val="en-US"/>
          </w:rPr>
          <w:t>http://www.epa.gov/oppefed1/ecorisk/terrreport.pdf</w:t>
        </w:r>
      </w:hyperlink>
    </w:p>
    <w:p w:rsidR="00956963" w:rsidRPr="0099279C" w:rsidRDefault="00956963"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2C5BE8" w:rsidRPr="0099279C">
        <w:rPr>
          <w:rFonts w:cs="Times New Roman"/>
          <w:sz w:val="24"/>
          <w:szCs w:val="24"/>
          <w:lang w:val="en-US"/>
        </w:rPr>
        <w:t>199</w:t>
      </w:r>
      <w:r w:rsidRPr="0099279C">
        <w:rPr>
          <w:rFonts w:cs="Times New Roman"/>
          <w:sz w:val="24"/>
          <w:szCs w:val="24"/>
          <w:lang w:val="en-US"/>
        </w:rPr>
        <w:t xml:space="preserve">3. Wildlife Exposure Factors Handbook. </w:t>
      </w:r>
      <w:proofErr w:type="gramStart"/>
      <w:r w:rsidRPr="0099279C">
        <w:rPr>
          <w:rFonts w:cs="Times New Roman"/>
          <w:sz w:val="24"/>
          <w:szCs w:val="24"/>
          <w:lang w:val="en-US"/>
        </w:rPr>
        <w:t>Office of Research and Development, Washington, DC.</w:t>
      </w:r>
      <w:proofErr w:type="gramEnd"/>
      <w:r w:rsidRPr="0099279C">
        <w:rPr>
          <w:rFonts w:cs="Times New Roman"/>
          <w:sz w:val="24"/>
          <w:szCs w:val="24"/>
          <w:lang w:val="en-US"/>
        </w:rPr>
        <w:t xml:space="preserve"> </w:t>
      </w:r>
      <w:proofErr w:type="gramStart"/>
      <w:r w:rsidRPr="0099279C">
        <w:rPr>
          <w:rFonts w:cs="Times New Roman"/>
          <w:sz w:val="24"/>
          <w:szCs w:val="24"/>
          <w:lang w:val="en-US"/>
        </w:rPr>
        <w:t>EPA/600/R-93/187a.</w:t>
      </w:r>
      <w:proofErr w:type="gramEnd"/>
    </w:p>
    <w:p w:rsidR="00672681" w:rsidRPr="0099279C" w:rsidRDefault="00672681" w:rsidP="0062089F">
      <w:pPr>
        <w:rPr>
          <w:rFonts w:cs="Times New Roman"/>
          <w:sz w:val="24"/>
          <w:szCs w:val="24"/>
          <w:lang w:val="en-US"/>
        </w:rPr>
      </w:pPr>
      <w:r w:rsidRPr="0099279C">
        <w:rPr>
          <w:rFonts w:cs="Times New Roman"/>
          <w:sz w:val="24"/>
          <w:szCs w:val="24"/>
          <w:lang w:val="en-US"/>
        </w:rPr>
        <w:t>EPA (United States Environmental Protection Agency). 1998</w:t>
      </w:r>
      <w:r w:rsidR="005E2FC2" w:rsidRPr="0099279C">
        <w:rPr>
          <w:rFonts w:cs="Times New Roman"/>
          <w:sz w:val="24"/>
          <w:szCs w:val="24"/>
          <w:lang w:val="en-US"/>
        </w:rPr>
        <w:t>a</w:t>
      </w:r>
      <w:r w:rsidRPr="0099279C">
        <w:rPr>
          <w:rFonts w:cs="Times New Roman"/>
          <w:sz w:val="24"/>
          <w:szCs w:val="24"/>
          <w:lang w:val="en-US"/>
        </w:rPr>
        <w:t xml:space="preserve">. Reregistration Eligibility Decision (RED): Rodenticide Cluster. </w:t>
      </w:r>
      <w:proofErr w:type="gramStart"/>
      <w:r w:rsidRPr="0099279C">
        <w:rPr>
          <w:rFonts w:cs="Times New Roman"/>
          <w:sz w:val="24"/>
          <w:szCs w:val="24"/>
          <w:lang w:val="en-US"/>
        </w:rPr>
        <w:t>Office of Prevention, Pesticides and Toxic Substances, Office of Pesticide Programs, Washington, D.C. EPA738-R-98- 007.</w:t>
      </w:r>
      <w:proofErr w:type="gramEnd"/>
      <w:r w:rsidRPr="0099279C">
        <w:rPr>
          <w:rFonts w:cs="Times New Roman"/>
          <w:sz w:val="24"/>
          <w:szCs w:val="24"/>
          <w:lang w:val="en-US"/>
        </w:rPr>
        <w:t xml:space="preserve"> </w:t>
      </w:r>
    </w:p>
    <w:p w:rsidR="005E2FC2" w:rsidRPr="0099279C" w:rsidRDefault="005E2FC2" w:rsidP="005E2FC2">
      <w:pPr>
        <w:rPr>
          <w:rFonts w:cs="Times New Roman"/>
          <w:sz w:val="24"/>
          <w:szCs w:val="24"/>
          <w:lang w:val="en-US"/>
        </w:rPr>
      </w:pPr>
      <w:r w:rsidRPr="0099279C">
        <w:rPr>
          <w:rFonts w:cs="Times New Roman"/>
          <w:sz w:val="24"/>
          <w:szCs w:val="24"/>
          <w:lang w:val="en-US"/>
        </w:rPr>
        <w:t xml:space="preserve">EPA (United States Environmental Protection Agency). </w:t>
      </w:r>
      <w:proofErr w:type="gramStart"/>
      <w:r w:rsidRPr="0099279C">
        <w:rPr>
          <w:rFonts w:cs="Times New Roman"/>
          <w:sz w:val="24"/>
          <w:szCs w:val="24"/>
          <w:lang w:val="en-US"/>
        </w:rPr>
        <w:t>1998b. Guidelines for Ecological Risk Assessment.</w:t>
      </w:r>
      <w:proofErr w:type="gramEnd"/>
      <w:r w:rsidRPr="0099279C">
        <w:rPr>
          <w:rFonts w:cs="Times New Roman"/>
          <w:sz w:val="24"/>
          <w:szCs w:val="24"/>
          <w:lang w:val="en-US"/>
        </w:rPr>
        <w:t xml:space="preserve"> Risk Assessment Forum, Washington, D</w:t>
      </w:r>
      <w:r w:rsidR="00AA7F19">
        <w:rPr>
          <w:rFonts w:cs="Times New Roman"/>
          <w:sz w:val="24"/>
          <w:szCs w:val="24"/>
          <w:lang w:val="en-US"/>
        </w:rPr>
        <w:t>.</w:t>
      </w:r>
      <w:r w:rsidRPr="0099279C">
        <w:rPr>
          <w:rFonts w:cs="Times New Roman"/>
          <w:sz w:val="24"/>
          <w:szCs w:val="24"/>
          <w:lang w:val="en-US"/>
        </w:rPr>
        <w:t>C. EPA/630/R-95/002F.</w:t>
      </w:r>
    </w:p>
    <w:p w:rsidR="00167F55" w:rsidRPr="0099279C" w:rsidRDefault="00167F55" w:rsidP="0062089F">
      <w:pPr>
        <w:rPr>
          <w:rFonts w:cs="Times New Roman"/>
          <w:sz w:val="24"/>
          <w:szCs w:val="24"/>
          <w:lang w:val="en-US"/>
        </w:rPr>
      </w:pPr>
      <w:r w:rsidRPr="0099279C">
        <w:rPr>
          <w:rFonts w:cs="Times New Roman"/>
          <w:sz w:val="24"/>
          <w:szCs w:val="24"/>
          <w:lang w:val="en-US"/>
        </w:rPr>
        <w:t xml:space="preserve">EPA (United States Environmental Protection Agency). 2004. Overview of the </w:t>
      </w:r>
      <w:r w:rsidR="00AA7F19">
        <w:rPr>
          <w:rFonts w:cs="Times New Roman"/>
          <w:sz w:val="24"/>
          <w:szCs w:val="24"/>
          <w:lang w:val="en-US"/>
        </w:rPr>
        <w:t>E</w:t>
      </w:r>
      <w:r w:rsidRPr="0099279C">
        <w:rPr>
          <w:rFonts w:cs="Times New Roman"/>
          <w:sz w:val="24"/>
          <w:szCs w:val="24"/>
          <w:lang w:val="en-US"/>
        </w:rPr>
        <w:t xml:space="preserve">cological </w:t>
      </w:r>
      <w:r w:rsidR="00AA7F19">
        <w:rPr>
          <w:rFonts w:cs="Times New Roman"/>
          <w:sz w:val="24"/>
          <w:szCs w:val="24"/>
          <w:lang w:val="en-US"/>
        </w:rPr>
        <w:t>R</w:t>
      </w:r>
      <w:r w:rsidRPr="0099279C">
        <w:rPr>
          <w:rFonts w:cs="Times New Roman"/>
          <w:sz w:val="24"/>
          <w:szCs w:val="24"/>
          <w:lang w:val="en-US"/>
        </w:rPr>
        <w:t xml:space="preserve">isk </w:t>
      </w:r>
      <w:r w:rsidR="00AA7F19">
        <w:rPr>
          <w:rFonts w:cs="Times New Roman"/>
          <w:sz w:val="24"/>
          <w:szCs w:val="24"/>
          <w:lang w:val="en-US"/>
        </w:rPr>
        <w:t>A</w:t>
      </w:r>
      <w:r w:rsidRPr="0099279C">
        <w:rPr>
          <w:rFonts w:cs="Times New Roman"/>
          <w:sz w:val="24"/>
          <w:szCs w:val="24"/>
          <w:lang w:val="en-US"/>
        </w:rPr>
        <w:t xml:space="preserve">ssessment </w:t>
      </w:r>
      <w:r w:rsidR="00AA7F19">
        <w:rPr>
          <w:rFonts w:cs="Times New Roman"/>
          <w:sz w:val="24"/>
          <w:szCs w:val="24"/>
          <w:lang w:val="en-US"/>
        </w:rPr>
        <w:t>P</w:t>
      </w:r>
      <w:r w:rsidRPr="0099279C">
        <w:rPr>
          <w:rFonts w:cs="Times New Roman"/>
          <w:sz w:val="24"/>
          <w:szCs w:val="24"/>
          <w:lang w:val="en-US"/>
        </w:rPr>
        <w:t xml:space="preserve">rocess in the Office of Pesticide Programs, U.S. Environmental Protection Agency: Endangered and </w:t>
      </w:r>
      <w:r w:rsidR="00AA7F19">
        <w:rPr>
          <w:rFonts w:cs="Times New Roman"/>
          <w:sz w:val="24"/>
          <w:szCs w:val="24"/>
          <w:lang w:val="en-US"/>
        </w:rPr>
        <w:t>T</w:t>
      </w:r>
      <w:r w:rsidRPr="0099279C">
        <w:rPr>
          <w:rFonts w:cs="Times New Roman"/>
          <w:sz w:val="24"/>
          <w:szCs w:val="24"/>
          <w:lang w:val="en-US"/>
        </w:rPr>
        <w:t xml:space="preserve">hreatened </w:t>
      </w:r>
      <w:r w:rsidR="00AA7F19">
        <w:rPr>
          <w:rFonts w:cs="Times New Roman"/>
          <w:sz w:val="24"/>
          <w:szCs w:val="24"/>
          <w:lang w:val="en-US"/>
        </w:rPr>
        <w:t>S</w:t>
      </w:r>
      <w:r w:rsidRPr="0099279C">
        <w:rPr>
          <w:rFonts w:cs="Times New Roman"/>
          <w:sz w:val="24"/>
          <w:szCs w:val="24"/>
          <w:lang w:val="en-US"/>
        </w:rPr>
        <w:t xml:space="preserve">pecies </w:t>
      </w:r>
      <w:r w:rsidR="00AA7F19">
        <w:rPr>
          <w:rFonts w:cs="Times New Roman"/>
          <w:sz w:val="24"/>
          <w:szCs w:val="24"/>
          <w:lang w:val="en-US"/>
        </w:rPr>
        <w:t>E</w:t>
      </w:r>
      <w:r w:rsidRPr="0099279C">
        <w:rPr>
          <w:rFonts w:cs="Times New Roman"/>
          <w:sz w:val="24"/>
          <w:szCs w:val="24"/>
          <w:lang w:val="en-US"/>
        </w:rPr>
        <w:t xml:space="preserve">ffects </w:t>
      </w:r>
      <w:r w:rsidR="00AA7F19">
        <w:rPr>
          <w:rFonts w:cs="Times New Roman"/>
          <w:sz w:val="24"/>
          <w:szCs w:val="24"/>
          <w:lang w:val="en-US"/>
        </w:rPr>
        <w:t>D</w:t>
      </w:r>
      <w:r w:rsidRPr="0099279C">
        <w:rPr>
          <w:rFonts w:cs="Times New Roman"/>
          <w:sz w:val="24"/>
          <w:szCs w:val="24"/>
          <w:lang w:val="en-US"/>
        </w:rPr>
        <w:t xml:space="preserve">etermination. </w:t>
      </w:r>
      <w:proofErr w:type="gramStart"/>
      <w:r w:rsidRPr="0099279C">
        <w:rPr>
          <w:rFonts w:cs="Times New Roman"/>
          <w:sz w:val="24"/>
          <w:szCs w:val="24"/>
          <w:lang w:val="en-US"/>
        </w:rPr>
        <w:t>Office of Prevention, Pesticides and Toxic Substances, Office of Pesticide Programs, Washington, D.C.</w:t>
      </w:r>
      <w:proofErr w:type="gramEnd"/>
    </w:p>
    <w:p w:rsidR="00514E4F" w:rsidRDefault="00514E4F"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1373EE" w:rsidRPr="001373EE">
        <w:rPr>
          <w:rFonts w:cs="Times New Roman"/>
          <w:sz w:val="24"/>
          <w:szCs w:val="24"/>
          <w:lang w:val="fr-CA"/>
        </w:rPr>
        <w:t xml:space="preserve">2008. Pesticide Product Label, Brodifacoum-25D Conservation. </w:t>
      </w:r>
      <w:proofErr w:type="gramStart"/>
      <w:r w:rsidR="00AA7F19" w:rsidRPr="0099279C">
        <w:rPr>
          <w:rFonts w:cs="Times New Roman"/>
          <w:sz w:val="24"/>
          <w:szCs w:val="24"/>
          <w:lang w:val="en-US"/>
        </w:rPr>
        <w:t xml:space="preserve">Office of Prevention, Pesticides and Toxic Substances, Office of Pesticide Programs, </w:t>
      </w:r>
      <w:r w:rsidR="008A4B70" w:rsidRPr="0099279C">
        <w:rPr>
          <w:rFonts w:cs="Times New Roman"/>
          <w:sz w:val="24"/>
          <w:szCs w:val="24"/>
          <w:lang w:val="en-US"/>
        </w:rPr>
        <w:t>Washington, D</w:t>
      </w:r>
      <w:r w:rsidR="00AA7F19">
        <w:rPr>
          <w:rFonts w:cs="Times New Roman"/>
          <w:sz w:val="24"/>
          <w:szCs w:val="24"/>
          <w:lang w:val="en-US"/>
        </w:rPr>
        <w:t>.</w:t>
      </w:r>
      <w:r w:rsidR="008A4B70" w:rsidRPr="0099279C">
        <w:rPr>
          <w:rFonts w:cs="Times New Roman"/>
          <w:sz w:val="24"/>
          <w:szCs w:val="24"/>
          <w:lang w:val="en-US"/>
        </w:rPr>
        <w:t>C. EPA Reg. No. 56228-37.</w:t>
      </w:r>
      <w:proofErr w:type="gramEnd"/>
    </w:p>
    <w:p w:rsidR="00AA7F19" w:rsidRDefault="00AA7F19" w:rsidP="00AA7F19">
      <w:pPr>
        <w:rPr>
          <w:rFonts w:cs="Times New Roman"/>
          <w:sz w:val="24"/>
        </w:rPr>
      </w:pPr>
      <w:r>
        <w:rPr>
          <w:rFonts w:cs="Times New Roman"/>
          <w:sz w:val="24"/>
        </w:rPr>
        <w:t>EPA (United States Environmental Protection Agency). 2011. Risks of Diphacinone Use to the Federally Threatened Alameda Whipsnake (</w:t>
      </w:r>
      <w:r>
        <w:rPr>
          <w:rFonts w:cs="Times New Roman"/>
          <w:i/>
          <w:sz w:val="24"/>
        </w:rPr>
        <w:t>Masticophis lateralis euryxanthus</w:t>
      </w:r>
      <w:r>
        <w:rPr>
          <w:rFonts w:cs="Times New Roman"/>
          <w:sz w:val="24"/>
        </w:rPr>
        <w:t>), California Tiger Salamander (</w:t>
      </w:r>
      <w:r>
        <w:rPr>
          <w:rFonts w:cs="Times New Roman"/>
          <w:i/>
          <w:sz w:val="24"/>
        </w:rPr>
        <w:t>Ambystoma californiense</w:t>
      </w:r>
      <w:r>
        <w:rPr>
          <w:rFonts w:cs="Times New Roman"/>
          <w:sz w:val="24"/>
        </w:rPr>
        <w:t>), and the Federally Endangered Salt Marsh Harvest Mouse, California Tiger Salamander (</w:t>
      </w:r>
      <w:r>
        <w:rPr>
          <w:rFonts w:cs="Times New Roman"/>
          <w:i/>
          <w:sz w:val="24"/>
        </w:rPr>
        <w:t>Ambystoma californiense</w:t>
      </w:r>
      <w:r>
        <w:rPr>
          <w:rFonts w:cs="Times New Roman"/>
          <w:sz w:val="24"/>
        </w:rPr>
        <w:t>) Sonoma County Distinct Population Segment and Santa Barbara County Distinct Population Segment, and San Joaquin Kit Fox (</w:t>
      </w:r>
      <w:r>
        <w:rPr>
          <w:rFonts w:cs="Times New Roman"/>
          <w:i/>
          <w:sz w:val="24"/>
        </w:rPr>
        <w:t>Vulpes macrotis mutica</w:t>
      </w:r>
      <w:r>
        <w:rPr>
          <w:rFonts w:cs="Times New Roman"/>
          <w:sz w:val="24"/>
        </w:rPr>
        <w:t xml:space="preserve">). </w:t>
      </w:r>
      <w:proofErr w:type="gramStart"/>
      <w:r w:rsidRPr="0099279C">
        <w:rPr>
          <w:rFonts w:cs="Times New Roman"/>
          <w:sz w:val="24"/>
          <w:szCs w:val="24"/>
          <w:lang w:val="en-US"/>
        </w:rPr>
        <w:t xml:space="preserve">Office of Prevention, Pesticides and Toxic Substances, Office of Pesticide Programs, </w:t>
      </w:r>
      <w:r>
        <w:rPr>
          <w:rFonts w:cs="Times New Roman"/>
          <w:sz w:val="24"/>
        </w:rPr>
        <w:t>Washington, D.C.</w:t>
      </w:r>
      <w:proofErr w:type="gramEnd"/>
    </w:p>
    <w:p w:rsidR="0062089F" w:rsidRPr="0099279C" w:rsidRDefault="0062089F" w:rsidP="0062089F">
      <w:pPr>
        <w:rPr>
          <w:rFonts w:cs="Times New Roman"/>
          <w:sz w:val="24"/>
          <w:szCs w:val="24"/>
          <w:lang w:val="en-US"/>
        </w:rPr>
      </w:pPr>
      <w:proofErr w:type="gramStart"/>
      <w:r w:rsidRPr="0099279C">
        <w:rPr>
          <w:rFonts w:cs="Times New Roman"/>
          <w:sz w:val="24"/>
          <w:szCs w:val="24"/>
          <w:lang w:val="en-US"/>
        </w:rPr>
        <w:t>Erickson, W. and D. Urban.</w:t>
      </w:r>
      <w:proofErr w:type="gramEnd"/>
      <w:r w:rsidRPr="0099279C">
        <w:rPr>
          <w:rFonts w:cs="Times New Roman"/>
          <w:sz w:val="24"/>
          <w:szCs w:val="24"/>
          <w:lang w:val="en-US"/>
        </w:rPr>
        <w:t xml:space="preserve"> 2004. Potential Risks of Nine Rodenticides to Birds and Nontarget Mammals: A Comparative Approach. </w:t>
      </w:r>
      <w:proofErr w:type="gramStart"/>
      <w:r w:rsidR="00AA7F19" w:rsidRPr="0099279C">
        <w:rPr>
          <w:rFonts w:cs="Times New Roman"/>
          <w:sz w:val="24"/>
          <w:szCs w:val="24"/>
          <w:lang w:val="en-US"/>
        </w:rPr>
        <w:t xml:space="preserve">Office of Prevention, Pesticides and Toxic Substances, Office of Pesticide Programs, </w:t>
      </w:r>
      <w:r w:rsidRPr="0099279C">
        <w:rPr>
          <w:rFonts w:cs="Times New Roman"/>
          <w:sz w:val="24"/>
          <w:szCs w:val="24"/>
          <w:lang w:val="en-US"/>
        </w:rPr>
        <w:t>Washington, D.C.</w:t>
      </w:r>
      <w:proofErr w:type="gramEnd"/>
      <w:r w:rsidRPr="0099279C">
        <w:rPr>
          <w:rFonts w:cs="Times New Roman"/>
          <w:sz w:val="24"/>
          <w:szCs w:val="24"/>
          <w:lang w:val="en-US"/>
        </w:rPr>
        <w:t xml:space="preserve"> </w:t>
      </w:r>
    </w:p>
    <w:p w:rsidR="00BD231C" w:rsidRPr="0099279C" w:rsidRDefault="00BD231C" w:rsidP="0062089F">
      <w:pPr>
        <w:rPr>
          <w:rFonts w:cs="Times New Roman"/>
          <w:sz w:val="24"/>
          <w:szCs w:val="24"/>
          <w:lang w:val="en-US"/>
        </w:rPr>
      </w:pPr>
      <w:r w:rsidRPr="0099279C">
        <w:rPr>
          <w:rFonts w:cs="Times New Roman"/>
          <w:sz w:val="24"/>
          <w:szCs w:val="24"/>
          <w:lang w:val="en-US"/>
        </w:rPr>
        <w:t xml:space="preserve">Fisher, P.M. 2009. </w:t>
      </w:r>
      <w:proofErr w:type="gramStart"/>
      <w:r w:rsidRPr="0099279C">
        <w:rPr>
          <w:rFonts w:cs="Times New Roman"/>
          <w:sz w:val="24"/>
          <w:szCs w:val="24"/>
          <w:lang w:val="en-US"/>
        </w:rPr>
        <w:t>Residual Concentrations and Persistence of the Anticoagulant Pesticides Brodifacoum and Diphacinone in Fauna.</w:t>
      </w:r>
      <w:proofErr w:type="gramEnd"/>
      <w:r w:rsidRPr="0099279C">
        <w:rPr>
          <w:rFonts w:cs="Times New Roman"/>
          <w:sz w:val="24"/>
          <w:szCs w:val="24"/>
          <w:lang w:val="en-US"/>
        </w:rPr>
        <w:t xml:space="preserve"> </w:t>
      </w:r>
      <w:proofErr w:type="gramStart"/>
      <w:r w:rsidRPr="0099279C">
        <w:rPr>
          <w:rFonts w:cs="Times New Roman"/>
          <w:sz w:val="24"/>
          <w:szCs w:val="24"/>
          <w:lang w:val="en-US"/>
        </w:rPr>
        <w:t>Ph.D. Thesis, Lincoln University, Lincoln, New Zealand.</w:t>
      </w:r>
      <w:proofErr w:type="gramEnd"/>
    </w:p>
    <w:p w:rsidR="000D5808" w:rsidRPr="0099279C" w:rsidRDefault="000D5808" w:rsidP="000D5808">
      <w:pPr>
        <w:rPr>
          <w:rFonts w:cs="Times New Roman"/>
          <w:sz w:val="24"/>
          <w:szCs w:val="24"/>
          <w:lang w:val="en-US"/>
        </w:rPr>
      </w:pPr>
      <w:r w:rsidRPr="0099279C">
        <w:rPr>
          <w:rFonts w:cs="Times New Roman"/>
          <w:sz w:val="24"/>
          <w:szCs w:val="24"/>
          <w:lang w:val="en-US"/>
        </w:rPr>
        <w:t xml:space="preserve">Fisher, P.M. 2010. </w:t>
      </w:r>
      <w:proofErr w:type="gramStart"/>
      <w:r w:rsidRPr="0099279C">
        <w:rPr>
          <w:rFonts w:cs="Times New Roman"/>
          <w:sz w:val="24"/>
          <w:szCs w:val="24"/>
          <w:lang w:val="en-US"/>
        </w:rPr>
        <w:t>Environmental fate and residual persistence of brodifacoum in wildlife.</w:t>
      </w:r>
      <w:proofErr w:type="gramEnd"/>
      <w:r w:rsidRPr="0099279C">
        <w:rPr>
          <w:rFonts w:cs="Times New Roman"/>
          <w:sz w:val="24"/>
          <w:szCs w:val="24"/>
          <w:lang w:val="en-US"/>
        </w:rPr>
        <w:t xml:space="preserve"> </w:t>
      </w:r>
      <w:proofErr w:type="gramStart"/>
      <w:r w:rsidRPr="00BD2BE7">
        <w:rPr>
          <w:rFonts w:cs="Times New Roman"/>
          <w:i/>
          <w:sz w:val="24"/>
          <w:szCs w:val="24"/>
          <w:lang w:val="en-US"/>
        </w:rPr>
        <w:t>Envirolink</w:t>
      </w:r>
      <w:r w:rsidR="00BD2BE7">
        <w:rPr>
          <w:rFonts w:cs="Times New Roman"/>
          <w:i/>
          <w:sz w:val="24"/>
          <w:szCs w:val="24"/>
          <w:lang w:val="en-US"/>
        </w:rPr>
        <w:t>,</w:t>
      </w:r>
      <w:r w:rsidRPr="0099279C">
        <w:rPr>
          <w:rFonts w:cs="Times New Roman"/>
          <w:sz w:val="24"/>
          <w:szCs w:val="24"/>
          <w:lang w:val="en-US"/>
        </w:rPr>
        <w:t xml:space="preserve"> 884-HBRC131.</w:t>
      </w:r>
      <w:proofErr w:type="gramEnd"/>
    </w:p>
    <w:p w:rsidR="000D5808" w:rsidRPr="0099279C" w:rsidRDefault="000D5808" w:rsidP="000D5808">
      <w:pPr>
        <w:rPr>
          <w:rFonts w:cs="Times New Roman"/>
          <w:sz w:val="24"/>
          <w:szCs w:val="24"/>
          <w:lang w:val="en-US"/>
        </w:rPr>
      </w:pPr>
      <w:proofErr w:type="gramStart"/>
      <w:r w:rsidRPr="0099279C">
        <w:rPr>
          <w:rFonts w:cs="Times New Roman"/>
          <w:sz w:val="24"/>
          <w:szCs w:val="24"/>
          <w:lang w:val="en-US"/>
        </w:rPr>
        <w:t>Fisher, P.M., R. Griffiths, C. Speedy and K. Broome.</w:t>
      </w:r>
      <w:proofErr w:type="gramEnd"/>
      <w:r w:rsidRPr="0099279C">
        <w:rPr>
          <w:rFonts w:cs="Times New Roman"/>
          <w:sz w:val="24"/>
          <w:szCs w:val="24"/>
          <w:lang w:val="en-US"/>
        </w:rPr>
        <w:t xml:space="preserve"> </w:t>
      </w:r>
      <w:proofErr w:type="gramStart"/>
      <w:r w:rsidRPr="0099279C">
        <w:rPr>
          <w:rFonts w:cs="Times New Roman"/>
          <w:sz w:val="24"/>
          <w:szCs w:val="24"/>
          <w:lang w:val="en-US"/>
        </w:rPr>
        <w:t>In press.</w:t>
      </w:r>
      <w:proofErr w:type="gramEnd"/>
      <w:r w:rsidRPr="0099279C">
        <w:rPr>
          <w:rFonts w:cs="Times New Roman"/>
          <w:sz w:val="24"/>
          <w:szCs w:val="24"/>
          <w:lang w:val="en-US"/>
        </w:rPr>
        <w:t xml:space="preserve"> </w:t>
      </w:r>
      <w:proofErr w:type="gramStart"/>
      <w:r w:rsidRPr="0099279C">
        <w:rPr>
          <w:rFonts w:cs="Times New Roman"/>
          <w:sz w:val="24"/>
          <w:szCs w:val="24"/>
          <w:lang w:val="en-US"/>
        </w:rPr>
        <w:t>Environmental monitoring for brodifacoum residues after aerial application of baits for rodent eradication.</w:t>
      </w:r>
      <w:proofErr w:type="gramEnd"/>
      <w:r w:rsidRPr="0099279C">
        <w:rPr>
          <w:rFonts w:cs="Times New Roman"/>
          <w:sz w:val="24"/>
          <w:szCs w:val="24"/>
          <w:lang w:val="en-US"/>
        </w:rPr>
        <w:t xml:space="preserve"> </w:t>
      </w:r>
      <w:r w:rsidRPr="00201CC8">
        <w:rPr>
          <w:rFonts w:cs="Times New Roman"/>
          <w:sz w:val="24"/>
          <w:szCs w:val="24"/>
          <w:lang w:val="en-US"/>
        </w:rPr>
        <w:t>In</w:t>
      </w:r>
      <w:r w:rsidRPr="0099279C">
        <w:rPr>
          <w:rFonts w:cs="Times New Roman"/>
          <w:sz w:val="24"/>
          <w:szCs w:val="24"/>
          <w:lang w:val="en-US"/>
        </w:rPr>
        <w:t>: Turning the Tide II. Gland, Switzerland, ISSG.</w:t>
      </w:r>
    </w:p>
    <w:p w:rsidR="00846D95" w:rsidRPr="0099279C" w:rsidRDefault="00846D95" w:rsidP="000D5808">
      <w:pPr>
        <w:rPr>
          <w:rFonts w:cs="Times New Roman"/>
          <w:sz w:val="24"/>
          <w:szCs w:val="24"/>
          <w:lang w:val="en-US"/>
        </w:rPr>
      </w:pPr>
      <w:proofErr w:type="gramStart"/>
      <w:r w:rsidRPr="0099279C">
        <w:rPr>
          <w:rFonts w:cs="Times New Roman"/>
          <w:sz w:val="24"/>
          <w:szCs w:val="24"/>
          <w:lang w:val="en-US"/>
        </w:rPr>
        <w:t>FWS (United States Fish and Wildlife Service).</w:t>
      </w:r>
      <w:proofErr w:type="gramEnd"/>
      <w:r w:rsidRPr="0099279C">
        <w:rPr>
          <w:rFonts w:cs="Times New Roman"/>
          <w:sz w:val="24"/>
          <w:szCs w:val="24"/>
          <w:lang w:val="en-US"/>
        </w:rPr>
        <w:t xml:space="preserve"> </w:t>
      </w:r>
      <w:r w:rsidR="00D424A2" w:rsidRPr="0099279C">
        <w:rPr>
          <w:rFonts w:cs="Times New Roman"/>
          <w:sz w:val="24"/>
          <w:szCs w:val="24"/>
          <w:lang w:val="en-US"/>
        </w:rPr>
        <w:t>201</w:t>
      </w:r>
      <w:r w:rsidR="00D424A2">
        <w:rPr>
          <w:rFonts w:cs="Times New Roman"/>
          <w:sz w:val="24"/>
          <w:szCs w:val="24"/>
          <w:lang w:val="en-US"/>
        </w:rPr>
        <w:t>2</w:t>
      </w:r>
      <w:r w:rsidRPr="0099279C">
        <w:rPr>
          <w:rFonts w:cs="Times New Roman"/>
          <w:sz w:val="24"/>
          <w:szCs w:val="24"/>
          <w:lang w:val="en-US"/>
        </w:rPr>
        <w:t xml:space="preserve">. </w:t>
      </w:r>
      <w:r w:rsidR="00C77E13" w:rsidRPr="00C77E13">
        <w:rPr>
          <w:rFonts w:cs="Times New Roman"/>
          <w:sz w:val="24"/>
          <w:szCs w:val="24"/>
          <w:lang w:val="en-US"/>
        </w:rPr>
        <w:t xml:space="preserve">House </w:t>
      </w:r>
      <w:r w:rsidR="00C77E13">
        <w:rPr>
          <w:rFonts w:cs="Times New Roman"/>
          <w:sz w:val="24"/>
          <w:szCs w:val="24"/>
          <w:lang w:val="en-US"/>
        </w:rPr>
        <w:t>m</w:t>
      </w:r>
      <w:r w:rsidR="00C77E13" w:rsidRPr="00C77E13">
        <w:rPr>
          <w:rFonts w:cs="Times New Roman"/>
          <w:sz w:val="24"/>
          <w:szCs w:val="24"/>
          <w:lang w:val="en-US"/>
        </w:rPr>
        <w:t xml:space="preserve">ouse </w:t>
      </w:r>
      <w:r w:rsidR="00C77E13">
        <w:rPr>
          <w:rFonts w:cs="Times New Roman"/>
          <w:sz w:val="24"/>
          <w:szCs w:val="24"/>
          <w:lang w:val="en-US"/>
        </w:rPr>
        <w:t>e</w:t>
      </w:r>
      <w:r w:rsidR="00C77E13" w:rsidRPr="00C77E13">
        <w:rPr>
          <w:rFonts w:cs="Times New Roman"/>
          <w:sz w:val="24"/>
          <w:szCs w:val="24"/>
          <w:lang w:val="en-US"/>
        </w:rPr>
        <w:t xml:space="preserve">radication from the South Farallon Islands: Draft </w:t>
      </w:r>
      <w:r w:rsidR="00C77E13">
        <w:rPr>
          <w:rFonts w:cs="Times New Roman"/>
          <w:sz w:val="24"/>
          <w:szCs w:val="24"/>
          <w:lang w:val="en-US"/>
        </w:rPr>
        <w:t>e</w:t>
      </w:r>
      <w:r w:rsidR="00C77E13" w:rsidRPr="00C77E13">
        <w:rPr>
          <w:rFonts w:cs="Times New Roman"/>
          <w:sz w:val="24"/>
          <w:szCs w:val="24"/>
          <w:lang w:val="en-US"/>
        </w:rPr>
        <w:t xml:space="preserve">nvironmental </w:t>
      </w:r>
      <w:r w:rsidR="00C77E13">
        <w:rPr>
          <w:rFonts w:cs="Times New Roman"/>
          <w:sz w:val="24"/>
          <w:szCs w:val="24"/>
          <w:lang w:val="en-US"/>
        </w:rPr>
        <w:t>i</w:t>
      </w:r>
      <w:r w:rsidR="00C77E13" w:rsidRPr="00C77E13">
        <w:rPr>
          <w:rFonts w:cs="Times New Roman"/>
          <w:sz w:val="24"/>
          <w:szCs w:val="24"/>
          <w:lang w:val="en-US"/>
        </w:rPr>
        <w:t xml:space="preserve">mpact </w:t>
      </w:r>
      <w:r w:rsidR="00C77E13">
        <w:rPr>
          <w:rFonts w:cs="Times New Roman"/>
          <w:sz w:val="24"/>
          <w:szCs w:val="24"/>
          <w:lang w:val="en-US"/>
        </w:rPr>
        <w:t>s</w:t>
      </w:r>
      <w:r w:rsidR="00C77E13" w:rsidRPr="00C77E13">
        <w:rPr>
          <w:rFonts w:cs="Times New Roman"/>
          <w:sz w:val="24"/>
          <w:szCs w:val="24"/>
          <w:lang w:val="en-US"/>
        </w:rPr>
        <w:t>tatement</w:t>
      </w:r>
      <w:r w:rsidRPr="0099279C">
        <w:rPr>
          <w:rFonts w:cs="Times New Roman"/>
          <w:sz w:val="24"/>
          <w:szCs w:val="24"/>
          <w:lang w:val="en-US"/>
        </w:rPr>
        <w:t xml:space="preserve">. </w:t>
      </w:r>
      <w:proofErr w:type="gramStart"/>
      <w:r w:rsidRPr="0099279C">
        <w:rPr>
          <w:rFonts w:cs="Times New Roman"/>
          <w:sz w:val="24"/>
          <w:szCs w:val="24"/>
          <w:lang w:val="en-US"/>
        </w:rPr>
        <w:t>San Francisco Bay National Wildlife Refuge Complex, Newark, CA.</w:t>
      </w:r>
      <w:proofErr w:type="gramEnd"/>
    </w:p>
    <w:p w:rsidR="000D5808" w:rsidRPr="0099279C" w:rsidRDefault="000D5808" w:rsidP="0062089F">
      <w:pPr>
        <w:rPr>
          <w:rFonts w:cs="Times New Roman"/>
          <w:sz w:val="24"/>
          <w:szCs w:val="24"/>
          <w:lang w:val="en-US"/>
        </w:rPr>
      </w:pPr>
      <w:r w:rsidRPr="0099279C">
        <w:rPr>
          <w:rFonts w:cs="Times New Roman"/>
          <w:sz w:val="24"/>
          <w:szCs w:val="24"/>
          <w:lang w:val="en-US"/>
        </w:rPr>
        <w:t xml:space="preserve">Godfrey, M.E.R. 1985. </w:t>
      </w:r>
      <w:proofErr w:type="gramStart"/>
      <w:r w:rsidRPr="0099279C">
        <w:rPr>
          <w:rFonts w:cs="Times New Roman"/>
          <w:sz w:val="24"/>
          <w:szCs w:val="24"/>
          <w:lang w:val="en-US"/>
        </w:rPr>
        <w:t>Non-target and secondary poisoning hazards of “second generation” anticoagulants.</w:t>
      </w:r>
      <w:proofErr w:type="gramEnd"/>
      <w:r w:rsidRPr="0099279C">
        <w:rPr>
          <w:rFonts w:cs="Times New Roman"/>
          <w:sz w:val="24"/>
          <w:szCs w:val="24"/>
          <w:lang w:val="en-US"/>
        </w:rPr>
        <w:t xml:space="preserve"> </w:t>
      </w:r>
      <w:r w:rsidRPr="00BD2BE7">
        <w:rPr>
          <w:rFonts w:cs="Times New Roman"/>
          <w:i/>
          <w:sz w:val="24"/>
          <w:szCs w:val="24"/>
          <w:lang w:val="en-US"/>
        </w:rPr>
        <w:t>Acta Zoologica Fennica</w:t>
      </w:r>
      <w:r w:rsidR="00BD2BE7">
        <w:rPr>
          <w:rFonts w:cs="Times New Roman"/>
          <w:i/>
          <w:sz w:val="24"/>
          <w:szCs w:val="24"/>
          <w:lang w:val="en-US"/>
        </w:rPr>
        <w:t>,</w:t>
      </w:r>
      <w:r w:rsidRPr="0099279C">
        <w:rPr>
          <w:rFonts w:cs="Times New Roman"/>
          <w:sz w:val="24"/>
          <w:szCs w:val="24"/>
          <w:lang w:val="en-US"/>
        </w:rPr>
        <w:t xml:space="preserve"> 173:209-212.</w:t>
      </w:r>
    </w:p>
    <w:p w:rsidR="00E523E6" w:rsidRDefault="00E523E6" w:rsidP="00E523E6">
      <w:pPr>
        <w:rPr>
          <w:rFonts w:cs="Times New Roman"/>
          <w:sz w:val="24"/>
          <w:szCs w:val="24"/>
          <w:lang w:val="en-US"/>
        </w:rPr>
      </w:pPr>
      <w:r w:rsidRPr="0099279C">
        <w:rPr>
          <w:rFonts w:cs="Times New Roman"/>
          <w:sz w:val="24"/>
          <w:szCs w:val="24"/>
          <w:lang w:val="en-US"/>
        </w:rPr>
        <w:t xml:space="preserve">Godfrey, M.E.R. 1986. </w:t>
      </w:r>
      <w:proofErr w:type="gramStart"/>
      <w:r w:rsidRPr="0099279C">
        <w:rPr>
          <w:rFonts w:cs="Times New Roman"/>
          <w:sz w:val="24"/>
          <w:szCs w:val="24"/>
          <w:lang w:val="en-US"/>
        </w:rPr>
        <w:t>An evaluation of the acute-oral toxicity of brodifacoum to birds.</w:t>
      </w:r>
      <w:proofErr w:type="gramEnd"/>
      <w:r w:rsidRPr="0099279C">
        <w:rPr>
          <w:rFonts w:cs="Times New Roman"/>
          <w:sz w:val="24"/>
          <w:szCs w:val="24"/>
          <w:lang w:val="en-US"/>
        </w:rPr>
        <w:t xml:space="preserve"> Proceedings of the Vertebrates Pesticides Conference</w:t>
      </w:r>
      <w:r w:rsidR="00BD2BE7">
        <w:rPr>
          <w:rFonts w:cs="Times New Roman"/>
          <w:sz w:val="24"/>
          <w:szCs w:val="24"/>
          <w:lang w:val="en-US"/>
        </w:rPr>
        <w:t>,</w:t>
      </w:r>
      <w:r w:rsidRPr="0099279C">
        <w:rPr>
          <w:rFonts w:cs="Times New Roman"/>
          <w:sz w:val="24"/>
          <w:szCs w:val="24"/>
          <w:lang w:val="en-US"/>
        </w:rPr>
        <w:t xml:space="preserve"> 12:78-81.</w:t>
      </w:r>
    </w:p>
    <w:p w:rsidR="00022AB9" w:rsidRDefault="00E87A70" w:rsidP="00E87A70">
      <w:pPr>
        <w:rPr>
          <w:rFonts w:cs="Times New Roman"/>
          <w:sz w:val="24"/>
          <w:szCs w:val="24"/>
          <w:lang w:val="en-US"/>
        </w:rPr>
      </w:pPr>
      <w:proofErr w:type="gramStart"/>
      <w:r w:rsidRPr="00E87A70">
        <w:rPr>
          <w:rFonts w:cs="Times New Roman"/>
          <w:sz w:val="24"/>
          <w:szCs w:val="24"/>
          <w:lang w:val="en-US"/>
        </w:rPr>
        <w:t>Griffiths</w:t>
      </w:r>
      <w:r>
        <w:rPr>
          <w:rFonts w:cs="Times New Roman"/>
          <w:sz w:val="24"/>
          <w:szCs w:val="24"/>
          <w:lang w:val="en-US"/>
        </w:rPr>
        <w:t>,</w:t>
      </w:r>
      <w:r w:rsidRPr="00E87A70">
        <w:rPr>
          <w:rFonts w:cs="Times New Roman"/>
          <w:sz w:val="24"/>
          <w:szCs w:val="24"/>
          <w:lang w:val="en-US"/>
        </w:rPr>
        <w:t xml:space="preserve"> R</w:t>
      </w:r>
      <w:r>
        <w:rPr>
          <w:rFonts w:cs="Times New Roman"/>
          <w:sz w:val="24"/>
          <w:szCs w:val="24"/>
          <w:lang w:val="en-US"/>
        </w:rPr>
        <w:t>. and D.</w:t>
      </w:r>
      <w:r w:rsidRPr="00E87A70">
        <w:rPr>
          <w:rFonts w:cs="Times New Roman"/>
          <w:sz w:val="24"/>
          <w:szCs w:val="24"/>
          <w:lang w:val="en-US"/>
        </w:rPr>
        <w:t xml:space="preserve"> Towns</w:t>
      </w:r>
      <w:r>
        <w:rPr>
          <w:rFonts w:cs="Times New Roman"/>
          <w:sz w:val="24"/>
          <w:szCs w:val="24"/>
          <w:lang w:val="en-US"/>
        </w:rPr>
        <w:t>.</w:t>
      </w:r>
      <w:proofErr w:type="gramEnd"/>
      <w:r w:rsidRPr="00E87A70">
        <w:rPr>
          <w:rFonts w:cs="Times New Roman"/>
          <w:sz w:val="24"/>
          <w:szCs w:val="24"/>
          <w:lang w:val="en-US"/>
        </w:rPr>
        <w:t xml:space="preserve"> 2008. The Rangitoto and Motutapu pest eradication – </w:t>
      </w:r>
      <w:r>
        <w:rPr>
          <w:rFonts w:cs="Times New Roman"/>
          <w:sz w:val="24"/>
          <w:szCs w:val="24"/>
          <w:lang w:val="en-US"/>
        </w:rPr>
        <w:t>A</w:t>
      </w:r>
      <w:r w:rsidRPr="00E87A70">
        <w:rPr>
          <w:rFonts w:cs="Times New Roman"/>
          <w:sz w:val="24"/>
          <w:szCs w:val="24"/>
          <w:lang w:val="en-US"/>
        </w:rPr>
        <w:t xml:space="preserve"> feasibility</w:t>
      </w:r>
      <w:r>
        <w:rPr>
          <w:rFonts w:cs="Times New Roman"/>
          <w:sz w:val="24"/>
          <w:szCs w:val="24"/>
          <w:lang w:val="en-US"/>
        </w:rPr>
        <w:t xml:space="preserve"> </w:t>
      </w:r>
      <w:r w:rsidRPr="00E87A70">
        <w:rPr>
          <w:rFonts w:cs="Times New Roman"/>
          <w:sz w:val="24"/>
          <w:szCs w:val="24"/>
          <w:lang w:val="en-US"/>
        </w:rPr>
        <w:t xml:space="preserve">study. </w:t>
      </w:r>
      <w:proofErr w:type="gramStart"/>
      <w:r w:rsidRPr="00E87A70">
        <w:rPr>
          <w:rFonts w:cs="Times New Roman"/>
          <w:sz w:val="24"/>
          <w:szCs w:val="24"/>
          <w:lang w:val="en-US"/>
        </w:rPr>
        <w:t>Department of Conservation</w:t>
      </w:r>
      <w:r>
        <w:rPr>
          <w:rFonts w:cs="Times New Roman"/>
          <w:sz w:val="24"/>
          <w:szCs w:val="24"/>
          <w:lang w:val="en-US"/>
        </w:rPr>
        <w:t>,</w:t>
      </w:r>
      <w:r w:rsidRPr="00E87A70">
        <w:rPr>
          <w:rFonts w:cs="Times New Roman"/>
          <w:sz w:val="24"/>
          <w:szCs w:val="24"/>
          <w:lang w:val="en-US"/>
        </w:rPr>
        <w:t xml:space="preserve"> Wellington, New Zealand.</w:t>
      </w:r>
      <w:proofErr w:type="gramEnd"/>
    </w:p>
    <w:p w:rsidR="00022AB9" w:rsidRPr="0099279C" w:rsidRDefault="00022AB9" w:rsidP="00E87A70">
      <w:pPr>
        <w:rPr>
          <w:rFonts w:cs="Times New Roman"/>
          <w:sz w:val="24"/>
          <w:szCs w:val="24"/>
          <w:lang w:val="en-US"/>
        </w:rPr>
      </w:pPr>
      <w:proofErr w:type="gramStart"/>
      <w:r>
        <w:rPr>
          <w:rFonts w:cs="Times New Roman"/>
          <w:sz w:val="24"/>
          <w:szCs w:val="24"/>
          <w:lang w:val="en-US"/>
        </w:rPr>
        <w:t>Grout, D. 2012.</w:t>
      </w:r>
      <w:proofErr w:type="gramEnd"/>
      <w:r>
        <w:rPr>
          <w:rFonts w:cs="Times New Roman"/>
          <w:sz w:val="24"/>
          <w:szCs w:val="24"/>
          <w:lang w:val="en-US"/>
        </w:rPr>
        <w:t xml:space="preserve"> </w:t>
      </w:r>
      <w:proofErr w:type="gramStart"/>
      <w:r>
        <w:rPr>
          <w:rFonts w:cs="Times New Roman"/>
          <w:sz w:val="24"/>
          <w:szCs w:val="24"/>
          <w:lang w:val="en-US"/>
        </w:rPr>
        <w:t>Report of the 2010 mouse removal field trial on the Farallon Islands.</w:t>
      </w:r>
      <w:proofErr w:type="gramEnd"/>
      <w:r>
        <w:rPr>
          <w:rFonts w:cs="Times New Roman"/>
          <w:sz w:val="24"/>
          <w:szCs w:val="24"/>
          <w:lang w:val="en-US"/>
        </w:rPr>
        <w:t xml:space="preserve">  </w:t>
      </w:r>
      <w:proofErr w:type="gramStart"/>
      <w:r>
        <w:rPr>
          <w:rFonts w:cs="Times New Roman"/>
          <w:sz w:val="24"/>
          <w:szCs w:val="24"/>
          <w:lang w:val="en-US"/>
        </w:rPr>
        <w:t>Unpublished Report for the U.S. Fish and Wildlife Service.</w:t>
      </w:r>
      <w:proofErr w:type="gramEnd"/>
    </w:p>
    <w:p w:rsidR="000A1502" w:rsidRPr="0099279C" w:rsidRDefault="000A1502" w:rsidP="0062089F">
      <w:pPr>
        <w:rPr>
          <w:rFonts w:cs="Times New Roman"/>
          <w:sz w:val="24"/>
          <w:szCs w:val="24"/>
          <w:lang w:val="en-US"/>
        </w:rPr>
      </w:pPr>
      <w:r w:rsidRPr="0099279C">
        <w:rPr>
          <w:rFonts w:cs="Times New Roman"/>
          <w:sz w:val="24"/>
          <w:szCs w:val="24"/>
          <w:lang w:val="en-US"/>
        </w:rPr>
        <w:t xml:space="preserve">Howald, G.R. 1997. The risk of non-target species poisoning from brodifacoum used </w:t>
      </w:r>
      <w:r w:rsidR="008A4B70" w:rsidRPr="0099279C">
        <w:rPr>
          <w:rFonts w:cs="Times New Roman"/>
          <w:sz w:val="24"/>
          <w:szCs w:val="24"/>
          <w:lang w:val="en-US"/>
        </w:rPr>
        <w:t xml:space="preserve">to eradicate rats from Langara </w:t>
      </w:r>
      <w:r w:rsidRPr="0099279C">
        <w:rPr>
          <w:rFonts w:cs="Times New Roman"/>
          <w:sz w:val="24"/>
          <w:szCs w:val="24"/>
          <w:lang w:val="en-US"/>
        </w:rPr>
        <w:t xml:space="preserve">Island, British Columbia, Canada. M.Sc. Thesis. </w:t>
      </w:r>
      <w:proofErr w:type="gramStart"/>
      <w:r w:rsidRPr="0099279C">
        <w:rPr>
          <w:rFonts w:cs="Times New Roman"/>
          <w:sz w:val="24"/>
          <w:szCs w:val="24"/>
          <w:lang w:val="en-US"/>
        </w:rPr>
        <w:t xml:space="preserve">University of British Columbia, Vancouver, </w:t>
      </w:r>
      <w:r w:rsidR="008A4B70" w:rsidRPr="0099279C">
        <w:rPr>
          <w:rFonts w:cs="Times New Roman"/>
          <w:sz w:val="24"/>
          <w:szCs w:val="24"/>
          <w:lang w:val="en-US"/>
        </w:rPr>
        <w:t>BC</w:t>
      </w:r>
      <w:r w:rsidRPr="0099279C">
        <w:rPr>
          <w:rFonts w:cs="Times New Roman"/>
          <w:sz w:val="24"/>
          <w:szCs w:val="24"/>
          <w:lang w:val="en-US"/>
        </w:rPr>
        <w:t>.</w:t>
      </w:r>
      <w:proofErr w:type="gramEnd"/>
      <w:r w:rsidRPr="0099279C">
        <w:rPr>
          <w:rFonts w:cs="Times New Roman"/>
          <w:sz w:val="24"/>
          <w:szCs w:val="24"/>
          <w:lang w:val="en-US"/>
        </w:rPr>
        <w:t xml:space="preserve"> </w:t>
      </w:r>
      <w:proofErr w:type="gramStart"/>
      <w:r w:rsidRPr="0099279C">
        <w:rPr>
          <w:rFonts w:cs="Times New Roman"/>
          <w:sz w:val="24"/>
          <w:szCs w:val="24"/>
          <w:lang w:val="en-US"/>
        </w:rPr>
        <w:t>159 pp.</w:t>
      </w:r>
      <w:proofErr w:type="gramEnd"/>
    </w:p>
    <w:p w:rsidR="00163431" w:rsidRPr="0099279C" w:rsidRDefault="00163431" w:rsidP="00163431">
      <w:pPr>
        <w:rPr>
          <w:rFonts w:cs="Times New Roman"/>
          <w:sz w:val="24"/>
          <w:szCs w:val="24"/>
          <w:lang w:val="en-US"/>
        </w:rPr>
      </w:pPr>
      <w:proofErr w:type="gramStart"/>
      <w:r w:rsidRPr="0099279C">
        <w:rPr>
          <w:rFonts w:cs="Times New Roman"/>
          <w:sz w:val="24"/>
          <w:szCs w:val="24"/>
          <w:lang w:val="en-US"/>
        </w:rPr>
        <w:t>Howald, G.R., J.C. Donlan, K.R. Faulkner, S. Ortega, S., H. Gellerman, D.A. Croll and B.R. Tershy.</w:t>
      </w:r>
      <w:proofErr w:type="gramEnd"/>
      <w:r w:rsidRPr="0099279C">
        <w:rPr>
          <w:rFonts w:cs="Times New Roman"/>
          <w:sz w:val="24"/>
          <w:szCs w:val="24"/>
          <w:lang w:val="en-US"/>
        </w:rPr>
        <w:t xml:space="preserve"> 2009. Eradication of black rats </w:t>
      </w:r>
      <w:r w:rsidRPr="0099279C">
        <w:rPr>
          <w:rFonts w:cs="Times New Roman"/>
          <w:i/>
          <w:sz w:val="24"/>
          <w:szCs w:val="24"/>
          <w:lang w:val="en-US"/>
        </w:rPr>
        <w:t>Rattus rattus</w:t>
      </w:r>
      <w:r w:rsidRPr="0099279C">
        <w:rPr>
          <w:rFonts w:cs="Times New Roman"/>
          <w:sz w:val="24"/>
          <w:szCs w:val="24"/>
          <w:lang w:val="en-US"/>
        </w:rPr>
        <w:t xml:space="preserve"> from Anacapa Island. </w:t>
      </w:r>
      <w:r w:rsidRPr="00BD2BE7">
        <w:rPr>
          <w:rFonts w:cs="Times New Roman"/>
          <w:i/>
          <w:sz w:val="24"/>
          <w:szCs w:val="24"/>
          <w:lang w:val="en-US"/>
        </w:rPr>
        <w:t>Oryx</w:t>
      </w:r>
      <w:r w:rsidR="00BD2BE7">
        <w:rPr>
          <w:rFonts w:cs="Times New Roman"/>
          <w:sz w:val="24"/>
          <w:szCs w:val="24"/>
          <w:lang w:val="en-US"/>
        </w:rPr>
        <w:t>,</w:t>
      </w:r>
      <w:r w:rsidRPr="0099279C">
        <w:rPr>
          <w:rFonts w:cs="Times New Roman"/>
          <w:sz w:val="24"/>
          <w:szCs w:val="24"/>
          <w:lang w:val="en-US"/>
        </w:rPr>
        <w:t xml:space="preserve"> 44:30-40.</w:t>
      </w:r>
    </w:p>
    <w:p w:rsidR="00163431" w:rsidRPr="0099279C" w:rsidRDefault="00163431" w:rsidP="00163431">
      <w:pPr>
        <w:rPr>
          <w:rFonts w:cs="Times New Roman"/>
          <w:sz w:val="24"/>
          <w:szCs w:val="24"/>
          <w:lang w:val="en-US"/>
        </w:rPr>
      </w:pPr>
      <w:r w:rsidRPr="0099279C">
        <w:rPr>
          <w:rFonts w:cs="Times New Roman"/>
          <w:sz w:val="24"/>
          <w:szCs w:val="24"/>
          <w:lang w:val="en-US"/>
        </w:rPr>
        <w:t xml:space="preserve">Howald, G., C. Donlan, J. Galvan, J. Russel, J. Parkes, A. Samaniego, Y. Wand, D. Veitch, P. Genovesi, M. Pascal, A. Saunders and B. Tershy. 2007. Invasive rodent eradication on islands. </w:t>
      </w:r>
      <w:r w:rsidRPr="00BD2BE7">
        <w:rPr>
          <w:rFonts w:cs="Times New Roman"/>
          <w:i/>
          <w:sz w:val="24"/>
          <w:szCs w:val="24"/>
          <w:lang w:val="en-US"/>
        </w:rPr>
        <w:t>Conservation Biology</w:t>
      </w:r>
      <w:r w:rsidR="00BD2BE7">
        <w:rPr>
          <w:rFonts w:cs="Times New Roman"/>
          <w:sz w:val="24"/>
          <w:szCs w:val="24"/>
          <w:lang w:val="en-US"/>
        </w:rPr>
        <w:t>,</w:t>
      </w:r>
      <w:r w:rsidRPr="0099279C">
        <w:rPr>
          <w:rFonts w:cs="Times New Roman"/>
          <w:sz w:val="24"/>
          <w:szCs w:val="24"/>
          <w:lang w:val="en-US"/>
        </w:rPr>
        <w:t xml:space="preserve"> 21:121-124.</w:t>
      </w:r>
    </w:p>
    <w:p w:rsidR="00163431" w:rsidRDefault="00163431" w:rsidP="00163431">
      <w:pPr>
        <w:rPr>
          <w:rFonts w:cs="Times New Roman"/>
          <w:sz w:val="24"/>
          <w:szCs w:val="24"/>
          <w:lang w:val="en-US"/>
        </w:rPr>
      </w:pPr>
      <w:r w:rsidRPr="0099279C">
        <w:rPr>
          <w:rFonts w:cs="Times New Roman"/>
          <w:sz w:val="24"/>
          <w:szCs w:val="24"/>
          <w:lang w:val="en-US"/>
        </w:rPr>
        <w:t xml:space="preserve">Howald, G.R., P. Mineau, J.E. Elliott and K.M. Cheng, K.M. 1999. </w:t>
      </w:r>
      <w:proofErr w:type="gramStart"/>
      <w:r w:rsidRPr="0099279C">
        <w:rPr>
          <w:rFonts w:cs="Times New Roman"/>
          <w:sz w:val="24"/>
          <w:szCs w:val="24"/>
          <w:lang w:val="en-US"/>
        </w:rPr>
        <w:t>Brodifacoum poisoning of avian scavengers during rat control on a seabird colony.</w:t>
      </w:r>
      <w:proofErr w:type="gramEnd"/>
      <w:r w:rsidRPr="0099279C">
        <w:rPr>
          <w:rFonts w:cs="Times New Roman"/>
          <w:sz w:val="24"/>
          <w:szCs w:val="24"/>
          <w:lang w:val="en-US"/>
        </w:rPr>
        <w:t xml:space="preserve"> </w:t>
      </w:r>
      <w:r w:rsidRPr="00BD2BE7">
        <w:rPr>
          <w:rFonts w:cs="Times New Roman"/>
          <w:i/>
          <w:sz w:val="24"/>
          <w:szCs w:val="24"/>
          <w:lang w:val="en-US"/>
        </w:rPr>
        <w:t>Ecotoxicology</w:t>
      </w:r>
      <w:r w:rsidR="00BD2BE7">
        <w:rPr>
          <w:rFonts w:cs="Times New Roman"/>
          <w:sz w:val="24"/>
          <w:szCs w:val="24"/>
          <w:lang w:val="en-US"/>
        </w:rPr>
        <w:t>,</w:t>
      </w:r>
      <w:r w:rsidRPr="0099279C">
        <w:rPr>
          <w:rFonts w:cs="Times New Roman"/>
          <w:sz w:val="24"/>
          <w:szCs w:val="24"/>
          <w:lang w:val="en-US"/>
        </w:rPr>
        <w:t xml:space="preserve"> 8:431-447.</w:t>
      </w:r>
    </w:p>
    <w:p w:rsidR="00084D7E" w:rsidRPr="0099279C" w:rsidRDefault="00084D7E" w:rsidP="00084D7E">
      <w:pPr>
        <w:rPr>
          <w:rFonts w:cs="Times New Roman"/>
          <w:sz w:val="24"/>
          <w:szCs w:val="24"/>
          <w:lang w:val="en-US"/>
        </w:rPr>
      </w:pPr>
      <w:r>
        <w:rPr>
          <w:rFonts w:cs="Times New Roman"/>
          <w:sz w:val="24"/>
          <w:szCs w:val="24"/>
          <w:lang w:val="en-US"/>
        </w:rPr>
        <w:t xml:space="preserve">Howald, G.R., A. Samaniego, S. Buckalew, P. McClelland, B. Keitt, A. Wegmann, W.C. Pitt, D.S. Vice, E. Campbell, K. Swift and S. Barclay. 2004. </w:t>
      </w:r>
      <w:r w:rsidRPr="00084D7E">
        <w:rPr>
          <w:rFonts w:cs="Times New Roman"/>
          <w:sz w:val="24"/>
          <w:szCs w:val="24"/>
          <w:lang w:val="en-US"/>
        </w:rPr>
        <w:t xml:space="preserve">Palmyra </w:t>
      </w:r>
      <w:r>
        <w:rPr>
          <w:rFonts w:cs="Times New Roman"/>
          <w:sz w:val="24"/>
          <w:szCs w:val="24"/>
          <w:lang w:val="en-US"/>
        </w:rPr>
        <w:t>A</w:t>
      </w:r>
      <w:r w:rsidRPr="00084D7E">
        <w:rPr>
          <w:rFonts w:cs="Times New Roman"/>
          <w:sz w:val="24"/>
          <w:szCs w:val="24"/>
          <w:lang w:val="en-US"/>
        </w:rPr>
        <w:t>toll rat</w:t>
      </w:r>
      <w:r>
        <w:rPr>
          <w:rFonts w:cs="Times New Roman"/>
          <w:sz w:val="24"/>
          <w:szCs w:val="24"/>
          <w:lang w:val="en-US"/>
        </w:rPr>
        <w:t xml:space="preserve"> e</w:t>
      </w:r>
      <w:r w:rsidRPr="00084D7E">
        <w:rPr>
          <w:rFonts w:cs="Times New Roman"/>
          <w:sz w:val="24"/>
          <w:szCs w:val="24"/>
          <w:lang w:val="en-US"/>
        </w:rPr>
        <w:t>radication assessment</w:t>
      </w:r>
      <w:r>
        <w:rPr>
          <w:rFonts w:cs="Times New Roman"/>
          <w:sz w:val="24"/>
          <w:szCs w:val="24"/>
          <w:lang w:val="en-US"/>
        </w:rPr>
        <w:t xml:space="preserve"> </w:t>
      </w:r>
      <w:r w:rsidRPr="00084D7E">
        <w:rPr>
          <w:rFonts w:cs="Times New Roman"/>
          <w:sz w:val="24"/>
          <w:szCs w:val="24"/>
          <w:lang w:val="en-US"/>
        </w:rPr>
        <w:t>trip report</w:t>
      </w:r>
      <w:r>
        <w:rPr>
          <w:rFonts w:cs="Times New Roman"/>
          <w:sz w:val="24"/>
          <w:szCs w:val="24"/>
          <w:lang w:val="en-US"/>
        </w:rPr>
        <w:t xml:space="preserve"> A</w:t>
      </w:r>
      <w:r w:rsidRPr="00084D7E">
        <w:rPr>
          <w:rFonts w:cs="Times New Roman"/>
          <w:sz w:val="24"/>
          <w:szCs w:val="24"/>
          <w:lang w:val="en-US"/>
        </w:rPr>
        <w:t>ugust 2004</w:t>
      </w:r>
      <w:r>
        <w:rPr>
          <w:rFonts w:cs="Times New Roman"/>
          <w:sz w:val="24"/>
          <w:szCs w:val="24"/>
          <w:lang w:val="en-US"/>
        </w:rPr>
        <w:t xml:space="preserve">. </w:t>
      </w:r>
      <w:proofErr w:type="gramStart"/>
      <w:r>
        <w:rPr>
          <w:rFonts w:cs="Times New Roman"/>
          <w:sz w:val="24"/>
          <w:szCs w:val="24"/>
          <w:lang w:val="en-US"/>
        </w:rPr>
        <w:t>Unpublished report.</w:t>
      </w:r>
      <w:proofErr w:type="gramEnd"/>
    </w:p>
    <w:p w:rsidR="00C0251F" w:rsidRPr="0099279C" w:rsidRDefault="00C0251F" w:rsidP="00C0251F">
      <w:pPr>
        <w:rPr>
          <w:rFonts w:cs="Times New Roman"/>
          <w:sz w:val="24"/>
          <w:szCs w:val="24"/>
          <w:lang w:val="en-US"/>
        </w:rPr>
      </w:pPr>
      <w:r w:rsidRPr="0099279C">
        <w:rPr>
          <w:rFonts w:cs="Times New Roman"/>
          <w:sz w:val="24"/>
          <w:szCs w:val="24"/>
          <w:lang w:val="en-US"/>
        </w:rPr>
        <w:t>Howald, G.R., B.R. Tershy, B.S. Keitt, H. Gellerman, S. Ortega, K. Faulkner, C.J. Donlan and D.A. Croll. 2001. Progress in rat eradication, Anacapa Island, Channel Islands National Park, California. Unpublished report submitted to United States Environmental Protection Agency by the National Park Service, United States Department of the Interior, Washington, DC.</w:t>
      </w:r>
    </w:p>
    <w:p w:rsidR="00514E4F" w:rsidRPr="0099279C" w:rsidRDefault="008C76F8" w:rsidP="0062089F">
      <w:pPr>
        <w:rPr>
          <w:rFonts w:cs="Times New Roman"/>
          <w:sz w:val="24"/>
          <w:szCs w:val="24"/>
          <w:lang w:val="en-US"/>
        </w:rPr>
      </w:pPr>
      <w:proofErr w:type="gramStart"/>
      <w:r w:rsidRPr="0099279C">
        <w:rPr>
          <w:rFonts w:cs="Times New Roman"/>
          <w:sz w:val="24"/>
          <w:szCs w:val="24"/>
          <w:lang w:val="en-US"/>
        </w:rPr>
        <w:t>H</w:t>
      </w:r>
      <w:r w:rsidR="00514E4F" w:rsidRPr="0099279C">
        <w:rPr>
          <w:rFonts w:cs="Times New Roman"/>
          <w:sz w:val="24"/>
          <w:szCs w:val="24"/>
          <w:lang w:val="en-US"/>
        </w:rPr>
        <w:t>unt,</w:t>
      </w:r>
      <w:proofErr w:type="gramEnd"/>
      <w:r w:rsidR="00514E4F" w:rsidRPr="0099279C">
        <w:rPr>
          <w:rFonts w:cs="Times New Roman"/>
          <w:sz w:val="24"/>
          <w:szCs w:val="24"/>
          <w:lang w:val="en-US"/>
        </w:rPr>
        <w:t xml:space="preserve"> G.L. and J.L. Butler. 1980. Reproductive ecology of western gulls and Xantus’ murrelets with respect to food resources in the Southern California Bight. CalCOFI Report, Volume XXI.</w:t>
      </w:r>
    </w:p>
    <w:p w:rsidR="00514E4F" w:rsidRPr="0099279C" w:rsidRDefault="00514E4F" w:rsidP="0062089F">
      <w:pPr>
        <w:rPr>
          <w:rFonts w:cs="Times New Roman"/>
          <w:sz w:val="24"/>
          <w:szCs w:val="24"/>
          <w:lang w:val="en-US"/>
        </w:rPr>
      </w:pPr>
      <w:proofErr w:type="gramStart"/>
      <w:r w:rsidRPr="0099279C">
        <w:rPr>
          <w:rFonts w:cs="Times New Roman"/>
          <w:sz w:val="24"/>
          <w:szCs w:val="24"/>
          <w:lang w:val="en-US"/>
        </w:rPr>
        <w:t>Hunt,</w:t>
      </w:r>
      <w:proofErr w:type="gramEnd"/>
      <w:r w:rsidRPr="0099279C">
        <w:rPr>
          <w:rFonts w:cs="Times New Roman"/>
          <w:sz w:val="24"/>
          <w:szCs w:val="24"/>
          <w:lang w:val="en-US"/>
        </w:rPr>
        <w:t xml:space="preserve"> G.L. and M.W. Hunt. 1976. Exploitation of fluctuating food resources by western gulls.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93:301-307.</w:t>
      </w:r>
    </w:p>
    <w:p w:rsidR="007A31D0" w:rsidRPr="0099279C" w:rsidRDefault="007A31D0" w:rsidP="007A31D0">
      <w:pPr>
        <w:rPr>
          <w:rFonts w:cs="Times New Roman"/>
          <w:sz w:val="24"/>
          <w:szCs w:val="24"/>
          <w:lang w:val="en-US"/>
        </w:rPr>
      </w:pPr>
      <w:r w:rsidRPr="0099279C">
        <w:rPr>
          <w:rFonts w:cs="Times New Roman"/>
          <w:sz w:val="24"/>
          <w:szCs w:val="24"/>
          <w:lang w:val="en-US"/>
        </w:rPr>
        <w:t xml:space="preserve">ICWDM (Internet Center for Wildlife Damage Management). 2005. Description of Active Ingredients. Accessed online at: http://icwdm.org/handbook/pestchem/active.asp </w:t>
      </w:r>
    </w:p>
    <w:p w:rsidR="007A31D0" w:rsidRDefault="007A31D0" w:rsidP="007A31D0">
      <w:pPr>
        <w:rPr>
          <w:rFonts w:cs="Times New Roman"/>
          <w:sz w:val="24"/>
          <w:szCs w:val="24"/>
          <w:lang w:val="en-US"/>
        </w:rPr>
      </w:pPr>
      <w:proofErr w:type="gramStart"/>
      <w:r w:rsidRPr="0099279C">
        <w:rPr>
          <w:rFonts w:cs="Times New Roman"/>
          <w:sz w:val="24"/>
          <w:szCs w:val="24"/>
          <w:lang w:val="en-US"/>
        </w:rPr>
        <w:t>Imber, M., M. Harrison and J. Harrison.</w:t>
      </w:r>
      <w:proofErr w:type="gramEnd"/>
      <w:r w:rsidRPr="0099279C">
        <w:rPr>
          <w:rFonts w:cs="Times New Roman"/>
          <w:sz w:val="24"/>
          <w:szCs w:val="24"/>
          <w:lang w:val="en-US"/>
        </w:rPr>
        <w:t xml:space="preserve"> </w:t>
      </w:r>
      <w:proofErr w:type="gramStart"/>
      <w:r w:rsidRPr="0099279C">
        <w:rPr>
          <w:rFonts w:cs="Times New Roman"/>
          <w:sz w:val="24"/>
          <w:szCs w:val="24"/>
          <w:lang w:val="en-US"/>
        </w:rPr>
        <w:t>2000) Interactions between petrels, rats and rabbits on Whale Island, and effects of rat and rabbit eradication.</w:t>
      </w:r>
      <w:proofErr w:type="gramEnd"/>
      <w:r w:rsidRPr="0099279C">
        <w:rPr>
          <w:rFonts w:cs="Times New Roman"/>
          <w:sz w:val="24"/>
          <w:szCs w:val="24"/>
          <w:lang w:val="en-US"/>
        </w:rPr>
        <w:t xml:space="preserve">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24:153-160.</w:t>
      </w:r>
    </w:p>
    <w:p w:rsidR="00A26F8A" w:rsidRPr="0099279C" w:rsidRDefault="00A26F8A" w:rsidP="007A31D0">
      <w:pPr>
        <w:rPr>
          <w:rFonts w:cs="Times New Roman"/>
          <w:sz w:val="24"/>
          <w:szCs w:val="24"/>
          <w:lang w:val="en-US"/>
        </w:rPr>
      </w:pPr>
      <w:r w:rsidRPr="00A26F8A">
        <w:rPr>
          <w:rFonts w:cs="Times New Roman"/>
          <w:sz w:val="24"/>
          <w:szCs w:val="24"/>
          <w:lang w:val="en-US"/>
        </w:rPr>
        <w:t>Keitt</w:t>
      </w:r>
      <w:r>
        <w:rPr>
          <w:rFonts w:cs="Times New Roman"/>
          <w:sz w:val="24"/>
          <w:szCs w:val="24"/>
          <w:lang w:val="en-US"/>
        </w:rPr>
        <w:t>, B.</w:t>
      </w:r>
      <w:r w:rsidRPr="00A26F8A">
        <w:rPr>
          <w:rFonts w:cs="Times New Roman"/>
          <w:sz w:val="24"/>
          <w:szCs w:val="24"/>
          <w:lang w:val="en-US"/>
        </w:rPr>
        <w:t>, K. Campbell, A. Saunders, M. Clout, Y. Wang, R. Heinz, K. Newton and B. Tershy</w:t>
      </w:r>
      <w:r>
        <w:rPr>
          <w:rFonts w:cs="Times New Roman"/>
          <w:sz w:val="24"/>
          <w:szCs w:val="24"/>
          <w:lang w:val="en-US"/>
        </w:rPr>
        <w:t xml:space="preserve">. 2011. </w:t>
      </w:r>
      <w:r w:rsidRPr="00A26F8A">
        <w:rPr>
          <w:rFonts w:cs="Times New Roman"/>
          <w:sz w:val="24"/>
          <w:szCs w:val="24"/>
          <w:lang w:val="en-US"/>
        </w:rPr>
        <w:t>The Global Islands Invasive Vertebrate Eradication Database: A tool to improve and facilitate restoration of island ecosystems</w:t>
      </w:r>
      <w:r w:rsidR="0056060F">
        <w:rPr>
          <w:rFonts w:cs="Times New Roman"/>
          <w:sz w:val="24"/>
          <w:szCs w:val="24"/>
          <w:lang w:val="en-US"/>
        </w:rPr>
        <w:t>. In: C.</w:t>
      </w:r>
      <w:r w:rsidR="0056060F" w:rsidRPr="0056060F">
        <w:rPr>
          <w:rFonts w:cs="Times New Roman"/>
          <w:sz w:val="24"/>
          <w:szCs w:val="24"/>
          <w:lang w:val="en-US"/>
        </w:rPr>
        <w:t>R.</w:t>
      </w:r>
      <w:r w:rsidR="0056060F">
        <w:rPr>
          <w:rFonts w:cs="Times New Roman"/>
          <w:sz w:val="24"/>
          <w:szCs w:val="24"/>
          <w:lang w:val="en-US"/>
        </w:rPr>
        <w:t>Veitch, M.</w:t>
      </w:r>
      <w:r w:rsidR="0056060F" w:rsidRPr="0056060F">
        <w:rPr>
          <w:rFonts w:cs="Times New Roman"/>
          <w:sz w:val="24"/>
          <w:szCs w:val="24"/>
          <w:lang w:val="en-US"/>
        </w:rPr>
        <w:t xml:space="preserve">N. Clout and </w:t>
      </w:r>
      <w:r w:rsidR="0056060F">
        <w:rPr>
          <w:rFonts w:cs="Times New Roman"/>
          <w:sz w:val="24"/>
          <w:szCs w:val="24"/>
          <w:lang w:val="en-US"/>
        </w:rPr>
        <w:t>D.</w:t>
      </w:r>
      <w:r w:rsidR="0056060F" w:rsidRPr="0056060F">
        <w:rPr>
          <w:rFonts w:cs="Times New Roman"/>
          <w:sz w:val="24"/>
          <w:szCs w:val="24"/>
          <w:lang w:val="en-US"/>
        </w:rPr>
        <w:t>R. Towns</w:t>
      </w:r>
      <w:r w:rsidR="0056060F">
        <w:rPr>
          <w:rFonts w:cs="Times New Roman"/>
          <w:sz w:val="24"/>
          <w:szCs w:val="24"/>
          <w:lang w:val="en-US"/>
        </w:rPr>
        <w:t>,</w:t>
      </w:r>
      <w:r w:rsidR="0056060F" w:rsidRPr="0056060F">
        <w:rPr>
          <w:rFonts w:cs="Times New Roman"/>
          <w:sz w:val="24"/>
          <w:szCs w:val="24"/>
          <w:lang w:val="en-US"/>
        </w:rPr>
        <w:t xml:space="preserve"> </w:t>
      </w:r>
      <w:r w:rsidR="0056060F">
        <w:rPr>
          <w:rFonts w:cs="Times New Roman"/>
          <w:sz w:val="24"/>
          <w:szCs w:val="24"/>
          <w:lang w:val="en-US"/>
        </w:rPr>
        <w:t>E</w:t>
      </w:r>
      <w:r w:rsidR="0056060F" w:rsidRPr="0056060F">
        <w:rPr>
          <w:rFonts w:cs="Times New Roman"/>
          <w:sz w:val="24"/>
          <w:szCs w:val="24"/>
          <w:lang w:val="en-US"/>
        </w:rPr>
        <w:t>ds</w:t>
      </w:r>
      <w:r w:rsidR="0056060F">
        <w:rPr>
          <w:rFonts w:cs="Times New Roman"/>
          <w:sz w:val="24"/>
          <w:szCs w:val="24"/>
          <w:lang w:val="en-US"/>
        </w:rPr>
        <w:t>,</w:t>
      </w:r>
      <w:r w:rsidR="0056060F" w:rsidRPr="0056060F">
        <w:rPr>
          <w:rFonts w:cs="Times New Roman"/>
          <w:sz w:val="24"/>
          <w:szCs w:val="24"/>
          <w:lang w:val="en-US"/>
        </w:rPr>
        <w:t xml:space="preserve"> Island Invasives: Eradication and Management. </w:t>
      </w:r>
      <w:proofErr w:type="gramStart"/>
      <w:r w:rsidR="0056060F" w:rsidRPr="0056060F">
        <w:rPr>
          <w:rFonts w:cs="Times New Roman"/>
          <w:sz w:val="24"/>
          <w:szCs w:val="24"/>
          <w:lang w:val="en-US"/>
        </w:rPr>
        <w:t>IUCN, Gland, Switzerland.</w:t>
      </w:r>
      <w:proofErr w:type="gramEnd"/>
      <w:r w:rsidR="0056060F" w:rsidRPr="0056060F">
        <w:rPr>
          <w:rFonts w:cs="Times New Roman"/>
          <w:sz w:val="24"/>
          <w:szCs w:val="24"/>
          <w:lang w:val="en-US"/>
        </w:rPr>
        <w:t xml:space="preserve"> </w:t>
      </w:r>
      <w:proofErr w:type="gramStart"/>
      <w:r w:rsidR="0056060F" w:rsidRPr="0056060F">
        <w:rPr>
          <w:rFonts w:cs="Times New Roman"/>
          <w:sz w:val="24"/>
          <w:szCs w:val="24"/>
          <w:lang w:val="en-US"/>
        </w:rPr>
        <w:t>Pages 74-77</w:t>
      </w:r>
      <w:r w:rsidR="0056060F">
        <w:rPr>
          <w:rFonts w:cs="Times New Roman"/>
          <w:sz w:val="24"/>
          <w:szCs w:val="24"/>
          <w:lang w:val="en-US"/>
        </w:rPr>
        <w:t>.</w:t>
      </w:r>
      <w:proofErr w:type="gramEnd"/>
    </w:p>
    <w:p w:rsidR="008D4D21" w:rsidRDefault="008D4D21" w:rsidP="007A31D0">
      <w:pPr>
        <w:rPr>
          <w:rFonts w:cs="Times New Roman"/>
          <w:sz w:val="24"/>
          <w:szCs w:val="24"/>
          <w:lang w:val="en-US"/>
        </w:rPr>
      </w:pPr>
      <w:proofErr w:type="gramStart"/>
      <w:r w:rsidRPr="0099279C">
        <w:rPr>
          <w:rFonts w:cs="Times New Roman"/>
          <w:sz w:val="24"/>
          <w:szCs w:val="24"/>
          <w:lang w:val="en-US"/>
        </w:rPr>
        <w:t>Knopper, L.D., P. Mineau, L.A. Walker and R.F. Shore.</w:t>
      </w:r>
      <w:proofErr w:type="gramEnd"/>
      <w:r w:rsidRPr="0099279C">
        <w:rPr>
          <w:rFonts w:cs="Times New Roman"/>
          <w:sz w:val="24"/>
          <w:szCs w:val="24"/>
          <w:lang w:val="en-US"/>
        </w:rPr>
        <w:t xml:space="preserve"> 2007. Bone density and breaking strength in UK raptors exposed to second generation anticoagulant rodenticides. </w:t>
      </w:r>
      <w:r w:rsidRPr="00BD2BE7">
        <w:rPr>
          <w:rFonts w:cs="Times New Roman"/>
          <w:i/>
          <w:sz w:val="24"/>
          <w:szCs w:val="24"/>
          <w:lang w:val="en-US"/>
        </w:rPr>
        <w:t>Bulletin of</w:t>
      </w:r>
      <w:r w:rsidRPr="0099279C">
        <w:rPr>
          <w:rFonts w:cs="Times New Roman"/>
          <w:sz w:val="24"/>
          <w:szCs w:val="24"/>
          <w:lang w:val="en-US"/>
        </w:rPr>
        <w:t xml:space="preserve"> </w:t>
      </w:r>
      <w:r w:rsidRPr="00BD2BE7">
        <w:rPr>
          <w:rFonts w:cs="Times New Roman"/>
          <w:i/>
          <w:sz w:val="24"/>
          <w:szCs w:val="24"/>
          <w:lang w:val="en-US"/>
        </w:rPr>
        <w:t>Environmental Contamination and Toxicology</w:t>
      </w:r>
      <w:r w:rsidR="00BD2BE7">
        <w:rPr>
          <w:rFonts w:cs="Times New Roman"/>
          <w:sz w:val="24"/>
          <w:szCs w:val="24"/>
          <w:lang w:val="en-US"/>
        </w:rPr>
        <w:t>,</w:t>
      </w:r>
      <w:r w:rsidRPr="0099279C">
        <w:rPr>
          <w:rFonts w:cs="Times New Roman"/>
          <w:sz w:val="24"/>
          <w:szCs w:val="24"/>
          <w:lang w:val="en-US"/>
        </w:rPr>
        <w:t xml:space="preserve"> 78:249-251.</w:t>
      </w:r>
    </w:p>
    <w:p w:rsidR="007B54B2" w:rsidRPr="0099279C" w:rsidRDefault="007B54B2" w:rsidP="007A31D0">
      <w:pPr>
        <w:rPr>
          <w:rFonts w:cs="Times New Roman"/>
          <w:sz w:val="24"/>
          <w:szCs w:val="24"/>
          <w:lang w:val="en-US"/>
        </w:rPr>
      </w:pPr>
      <w:proofErr w:type="gramStart"/>
      <w:r w:rsidRPr="007B54B2">
        <w:rPr>
          <w:rFonts w:cs="Times New Roman"/>
          <w:sz w:val="24"/>
          <w:szCs w:val="24"/>
          <w:lang w:val="en-US"/>
        </w:rPr>
        <w:t>Long, R., J. Foster, K. Hoxter, et al. 1992.</w:t>
      </w:r>
      <w:proofErr w:type="gramEnd"/>
      <w:r w:rsidRPr="007B54B2">
        <w:rPr>
          <w:rFonts w:cs="Times New Roman"/>
          <w:sz w:val="24"/>
          <w:szCs w:val="24"/>
          <w:lang w:val="en-US"/>
        </w:rPr>
        <w:t xml:space="preserve"> Diphacinone technical: </w:t>
      </w:r>
      <w:r>
        <w:rPr>
          <w:rFonts w:cs="Times New Roman"/>
          <w:sz w:val="24"/>
          <w:szCs w:val="24"/>
          <w:lang w:val="en-US"/>
        </w:rPr>
        <w:t>A</w:t>
      </w:r>
      <w:r w:rsidRPr="007B54B2">
        <w:rPr>
          <w:rFonts w:cs="Times New Roman"/>
          <w:sz w:val="24"/>
          <w:szCs w:val="24"/>
          <w:lang w:val="en-US"/>
        </w:rPr>
        <w:t xml:space="preserve"> dietary LC50 study with the mallard. Wildlife International, Ltd., Easton, MD</w:t>
      </w:r>
      <w:r>
        <w:rPr>
          <w:rFonts w:cs="Times New Roman"/>
          <w:sz w:val="24"/>
          <w:szCs w:val="24"/>
          <w:lang w:val="en-US"/>
        </w:rPr>
        <w:t>.</w:t>
      </w:r>
      <w:r w:rsidRPr="007B54B2">
        <w:rPr>
          <w:rFonts w:cs="Times New Roman"/>
          <w:sz w:val="24"/>
          <w:szCs w:val="24"/>
          <w:lang w:val="en-US"/>
        </w:rPr>
        <w:t xml:space="preserve"> Project No. 284-102B</w:t>
      </w:r>
      <w:r>
        <w:rPr>
          <w:rFonts w:cs="Times New Roman"/>
          <w:sz w:val="24"/>
          <w:szCs w:val="24"/>
          <w:lang w:val="en-US"/>
        </w:rPr>
        <w:t>.</w:t>
      </w:r>
    </w:p>
    <w:p w:rsidR="008E4D98" w:rsidRPr="0099279C" w:rsidRDefault="008E4D98" w:rsidP="008E4D98">
      <w:pPr>
        <w:rPr>
          <w:rFonts w:cs="Times New Roman"/>
          <w:sz w:val="24"/>
          <w:szCs w:val="24"/>
          <w:lang w:val="en-US"/>
        </w:rPr>
      </w:pPr>
      <w:proofErr w:type="gramStart"/>
      <w:r w:rsidRPr="0099279C">
        <w:rPr>
          <w:rFonts w:cs="Times New Roman"/>
          <w:sz w:val="24"/>
          <w:szCs w:val="24"/>
          <w:lang w:val="en-US"/>
        </w:rPr>
        <w:t>Macdonald, D.W. and M.G. Fenn.</w:t>
      </w:r>
      <w:proofErr w:type="gramEnd"/>
      <w:r w:rsidRPr="0099279C">
        <w:rPr>
          <w:rFonts w:cs="Times New Roman"/>
          <w:sz w:val="24"/>
          <w:szCs w:val="24"/>
          <w:lang w:val="en-US"/>
        </w:rPr>
        <w:t xml:space="preserve"> 1994. The natural history of rodents: Preadaptations to pestilence. In: A.P. Buckle and R.H. Smith, Eds, Rodents Pests and Their Control. CAB International, Wallingford, U.K. Pages 1-21</w:t>
      </w:r>
      <w:r w:rsidR="00020A43" w:rsidRPr="0099279C">
        <w:rPr>
          <w:rFonts w:cs="Times New Roman"/>
          <w:sz w:val="24"/>
          <w:szCs w:val="24"/>
          <w:lang w:val="en-US"/>
        </w:rPr>
        <w:t>.</w:t>
      </w:r>
    </w:p>
    <w:p w:rsidR="00020A43" w:rsidRDefault="00020A43" w:rsidP="00020A43">
      <w:pPr>
        <w:rPr>
          <w:rFonts w:cs="Times New Roman"/>
          <w:sz w:val="24"/>
          <w:szCs w:val="24"/>
          <w:lang w:val="en-US"/>
        </w:rPr>
      </w:pPr>
      <w:proofErr w:type="gramStart"/>
      <w:r w:rsidRPr="0099279C">
        <w:rPr>
          <w:rFonts w:cs="Times New Roman"/>
          <w:sz w:val="24"/>
          <w:szCs w:val="24"/>
          <w:lang w:val="en-US"/>
        </w:rPr>
        <w:t>Mackay J.W.B., J.C. Russell and E.C. Murphy.</w:t>
      </w:r>
      <w:proofErr w:type="gramEnd"/>
      <w:r w:rsidRPr="0099279C">
        <w:rPr>
          <w:rFonts w:cs="Times New Roman"/>
          <w:sz w:val="24"/>
          <w:szCs w:val="24"/>
          <w:lang w:val="en-US"/>
        </w:rPr>
        <w:t xml:space="preserve"> 2007. Eradicating house mice from islands: Successes, failures and the way forward. In: G.W. Witmer, W.C. Pitt and K.A. Fagerstone, Eds, </w:t>
      </w:r>
      <w:r w:rsidRPr="0056060F">
        <w:rPr>
          <w:rFonts w:cs="Times New Roman"/>
          <w:sz w:val="24"/>
          <w:szCs w:val="24"/>
          <w:lang w:val="en-US"/>
        </w:rPr>
        <w:t>Managing Vertebrate Invasive Species: Proceedings of an International Symposium</w:t>
      </w:r>
      <w:r w:rsidRPr="0099279C">
        <w:rPr>
          <w:rFonts w:cs="Times New Roman"/>
          <w:sz w:val="24"/>
          <w:szCs w:val="24"/>
          <w:lang w:val="en-US"/>
        </w:rPr>
        <w:t xml:space="preserve">. National Wildlife Research Center, Fort Collins, CO. </w:t>
      </w:r>
    </w:p>
    <w:p w:rsidR="00AA15BB" w:rsidRDefault="00AA15BB" w:rsidP="00AA15BB">
      <w:pPr>
        <w:rPr>
          <w:rFonts w:cs="Times New Roman"/>
          <w:sz w:val="24"/>
          <w:szCs w:val="24"/>
          <w:lang w:val="en-US"/>
        </w:rPr>
      </w:pPr>
      <w:proofErr w:type="gramStart"/>
      <w:r w:rsidRPr="00AA15BB">
        <w:rPr>
          <w:rFonts w:cs="Times New Roman"/>
          <w:sz w:val="24"/>
          <w:szCs w:val="24"/>
          <w:lang w:val="en-US"/>
        </w:rPr>
        <w:t>M</w:t>
      </w:r>
      <w:r>
        <w:rPr>
          <w:rFonts w:cs="Times New Roman"/>
          <w:sz w:val="24"/>
          <w:szCs w:val="24"/>
          <w:lang w:val="en-US"/>
        </w:rPr>
        <w:t>endenhall, V.</w:t>
      </w:r>
      <w:r w:rsidRPr="00AA15BB">
        <w:rPr>
          <w:rFonts w:cs="Times New Roman"/>
          <w:sz w:val="24"/>
          <w:szCs w:val="24"/>
          <w:lang w:val="en-US"/>
        </w:rPr>
        <w:t>M. and L.F. P</w:t>
      </w:r>
      <w:r>
        <w:rPr>
          <w:rFonts w:cs="Times New Roman"/>
          <w:sz w:val="24"/>
          <w:szCs w:val="24"/>
          <w:lang w:val="en-US"/>
        </w:rPr>
        <w:t>ank</w:t>
      </w:r>
      <w:r w:rsidRPr="00AA15BB">
        <w:rPr>
          <w:rFonts w:cs="Times New Roman"/>
          <w:sz w:val="24"/>
          <w:szCs w:val="24"/>
          <w:lang w:val="en-US"/>
        </w:rPr>
        <w:t>.</w:t>
      </w:r>
      <w:proofErr w:type="gramEnd"/>
      <w:r w:rsidRPr="00AA15BB">
        <w:rPr>
          <w:rFonts w:cs="Times New Roman"/>
          <w:sz w:val="24"/>
          <w:szCs w:val="24"/>
          <w:lang w:val="en-US"/>
        </w:rPr>
        <w:t xml:space="preserve"> 1980. Secondary</w:t>
      </w:r>
      <w:r>
        <w:rPr>
          <w:rFonts w:cs="Times New Roman"/>
          <w:sz w:val="24"/>
          <w:szCs w:val="24"/>
          <w:lang w:val="en-US"/>
        </w:rPr>
        <w:t xml:space="preserve"> </w:t>
      </w:r>
      <w:r w:rsidRPr="00AA15BB">
        <w:rPr>
          <w:rFonts w:cs="Times New Roman"/>
          <w:sz w:val="24"/>
          <w:szCs w:val="24"/>
          <w:lang w:val="en-US"/>
        </w:rPr>
        <w:t xml:space="preserve">poisoning of owls by anticoagulant rodenticides. </w:t>
      </w:r>
      <w:r w:rsidR="00D24F61" w:rsidRPr="00D24F61">
        <w:rPr>
          <w:rFonts w:cs="Times New Roman"/>
          <w:i/>
          <w:sz w:val="24"/>
          <w:szCs w:val="24"/>
          <w:lang w:val="en-US"/>
        </w:rPr>
        <w:t>Wildlife Society Bulletin</w:t>
      </w:r>
      <w:r>
        <w:rPr>
          <w:rFonts w:cs="Times New Roman"/>
          <w:sz w:val="24"/>
          <w:szCs w:val="24"/>
          <w:lang w:val="en-US"/>
        </w:rPr>
        <w:t>,</w:t>
      </w:r>
      <w:r w:rsidRPr="00AA15BB">
        <w:rPr>
          <w:rFonts w:cs="Times New Roman"/>
          <w:sz w:val="24"/>
          <w:szCs w:val="24"/>
          <w:lang w:val="en-US"/>
        </w:rPr>
        <w:t xml:space="preserve"> 8:311-315.</w:t>
      </w:r>
    </w:p>
    <w:p w:rsidR="00937C8D" w:rsidRPr="0099279C" w:rsidRDefault="00937C8D" w:rsidP="00937C8D">
      <w:pPr>
        <w:rPr>
          <w:rFonts w:cs="Times New Roman"/>
          <w:sz w:val="24"/>
          <w:szCs w:val="24"/>
          <w:lang w:val="en-US"/>
        </w:rPr>
      </w:pPr>
      <w:r>
        <w:rPr>
          <w:rFonts w:cs="Times New Roman"/>
          <w:sz w:val="24"/>
          <w:szCs w:val="24"/>
          <w:lang w:val="en-US"/>
        </w:rPr>
        <w:t xml:space="preserve">Merton, D. 1987. </w:t>
      </w:r>
      <w:r w:rsidRPr="00937C8D">
        <w:rPr>
          <w:rFonts w:cs="Times New Roman"/>
          <w:sz w:val="24"/>
          <w:szCs w:val="24"/>
          <w:lang w:val="en-US"/>
        </w:rPr>
        <w:t>Eradication of rabbits from Round Island, Mauritius: A</w:t>
      </w:r>
      <w:r>
        <w:rPr>
          <w:rFonts w:cs="Times New Roman"/>
          <w:sz w:val="24"/>
          <w:szCs w:val="24"/>
          <w:lang w:val="en-US"/>
        </w:rPr>
        <w:t xml:space="preserve"> </w:t>
      </w:r>
      <w:r w:rsidRPr="00937C8D">
        <w:rPr>
          <w:rFonts w:cs="Times New Roman"/>
          <w:sz w:val="24"/>
          <w:szCs w:val="24"/>
          <w:lang w:val="en-US"/>
        </w:rPr>
        <w:t>conservation success story</w:t>
      </w:r>
      <w:r>
        <w:rPr>
          <w:rFonts w:cs="Times New Roman"/>
          <w:sz w:val="24"/>
          <w:szCs w:val="24"/>
          <w:lang w:val="en-US"/>
        </w:rPr>
        <w:t xml:space="preserve">. </w:t>
      </w:r>
      <w:r w:rsidR="00FF1884" w:rsidRPr="00FF1884">
        <w:rPr>
          <w:rFonts w:cs="Times New Roman"/>
          <w:i/>
          <w:sz w:val="24"/>
          <w:szCs w:val="24"/>
          <w:lang w:val="en-US"/>
        </w:rPr>
        <w:t>Dodo, Journal of Jersey Wildlife Preservation Trust</w:t>
      </w:r>
      <w:r>
        <w:rPr>
          <w:rFonts w:cs="Times New Roman"/>
          <w:sz w:val="24"/>
          <w:szCs w:val="24"/>
          <w:lang w:val="en-US"/>
        </w:rPr>
        <w:t>, 24:</w:t>
      </w:r>
      <w:r w:rsidRPr="00937C8D">
        <w:rPr>
          <w:rFonts w:cs="Times New Roman"/>
          <w:sz w:val="24"/>
          <w:szCs w:val="24"/>
          <w:lang w:val="en-US"/>
        </w:rPr>
        <w:t>19-43</w:t>
      </w:r>
    </w:p>
    <w:p w:rsidR="0066299F" w:rsidRPr="0099279C" w:rsidRDefault="0066299F" w:rsidP="0066299F">
      <w:pPr>
        <w:rPr>
          <w:rFonts w:cs="Times New Roman"/>
          <w:sz w:val="24"/>
          <w:szCs w:val="24"/>
          <w:lang w:val="en-US"/>
        </w:rPr>
      </w:pPr>
      <w:proofErr w:type="gramStart"/>
      <w:r w:rsidRPr="0099279C">
        <w:rPr>
          <w:rFonts w:cs="Times New Roman"/>
          <w:sz w:val="24"/>
          <w:szCs w:val="24"/>
          <w:lang w:val="en-US"/>
        </w:rPr>
        <w:t>Mineau, P., S. Trudeau, L.D. Knopper, J. Smits, S.P. Gallagher, J.B. Beavers and J.B. Jaber.</w:t>
      </w:r>
      <w:proofErr w:type="gramEnd"/>
      <w:r w:rsidRPr="0099279C">
        <w:rPr>
          <w:rFonts w:cs="Times New Roman"/>
          <w:sz w:val="24"/>
          <w:szCs w:val="24"/>
          <w:lang w:val="en-US"/>
        </w:rPr>
        <w:t xml:space="preserve"> 2005. Consequences in birds of sub lethal exposure to second generation anti-coagulant rodenticides. </w:t>
      </w:r>
      <w:proofErr w:type="gramStart"/>
      <w:r w:rsidRPr="0099279C">
        <w:rPr>
          <w:rFonts w:cs="Times New Roman"/>
          <w:sz w:val="24"/>
          <w:szCs w:val="24"/>
          <w:lang w:val="en-US"/>
        </w:rPr>
        <w:t>26th Annual SETAC North America Meeting, Baltimore, MD.</w:t>
      </w:r>
      <w:proofErr w:type="gramEnd"/>
    </w:p>
    <w:p w:rsidR="0066299F" w:rsidRDefault="0066299F" w:rsidP="0066299F">
      <w:pPr>
        <w:rPr>
          <w:rFonts w:cs="Times New Roman"/>
          <w:sz w:val="24"/>
          <w:szCs w:val="24"/>
          <w:lang w:val="en-US"/>
        </w:rPr>
      </w:pPr>
      <w:proofErr w:type="gramStart"/>
      <w:r w:rsidRPr="0099279C">
        <w:rPr>
          <w:rFonts w:cs="Times New Roman"/>
          <w:sz w:val="24"/>
          <w:szCs w:val="24"/>
          <w:lang w:val="en-US"/>
        </w:rPr>
        <w:t>Morgan, D.R. and G.R. Wright.</w:t>
      </w:r>
      <w:proofErr w:type="gramEnd"/>
      <w:r w:rsidRPr="0099279C">
        <w:rPr>
          <w:rFonts w:cs="Times New Roman"/>
          <w:sz w:val="24"/>
          <w:szCs w:val="24"/>
          <w:lang w:val="en-US"/>
        </w:rPr>
        <w:t xml:space="preserve"> 1996. Environmental effects of rodent Talon baiting: Part I. Monitoring for toxic residues. </w:t>
      </w:r>
      <w:r w:rsidRPr="00BD2BE7">
        <w:rPr>
          <w:rFonts w:cs="Times New Roman"/>
          <w:i/>
          <w:sz w:val="24"/>
          <w:szCs w:val="24"/>
          <w:lang w:val="en-US"/>
        </w:rPr>
        <w:t>Science for Conservation</w:t>
      </w:r>
      <w:r w:rsidR="00BD2BE7">
        <w:rPr>
          <w:rFonts w:cs="Times New Roman"/>
          <w:sz w:val="24"/>
          <w:szCs w:val="24"/>
          <w:lang w:val="en-US"/>
        </w:rPr>
        <w:t>,</w:t>
      </w:r>
      <w:r w:rsidRPr="0099279C">
        <w:rPr>
          <w:rFonts w:cs="Times New Roman"/>
          <w:sz w:val="24"/>
          <w:szCs w:val="24"/>
          <w:lang w:val="en-US"/>
        </w:rPr>
        <w:t xml:space="preserve"> 38:5-11.</w:t>
      </w:r>
    </w:p>
    <w:p w:rsidR="00E5406F" w:rsidRPr="0099279C" w:rsidRDefault="00E5406F" w:rsidP="00E5406F">
      <w:pPr>
        <w:rPr>
          <w:rFonts w:cs="Times New Roman"/>
          <w:sz w:val="24"/>
          <w:szCs w:val="24"/>
          <w:lang w:val="en-US"/>
        </w:rPr>
      </w:pPr>
      <w:r w:rsidRPr="00E5406F">
        <w:rPr>
          <w:rFonts w:cs="Times New Roman"/>
          <w:sz w:val="24"/>
          <w:szCs w:val="24"/>
          <w:lang w:val="en-US"/>
        </w:rPr>
        <w:t xml:space="preserve">Mosher, </w:t>
      </w:r>
      <w:r>
        <w:rPr>
          <w:rFonts w:cs="Times New Roman"/>
          <w:sz w:val="24"/>
          <w:szCs w:val="24"/>
          <w:lang w:val="en-US"/>
        </w:rPr>
        <w:t xml:space="preserve">S., </w:t>
      </w:r>
      <w:r w:rsidRPr="00E5406F">
        <w:rPr>
          <w:rFonts w:cs="Times New Roman"/>
          <w:sz w:val="24"/>
          <w:szCs w:val="24"/>
          <w:lang w:val="en-US"/>
        </w:rPr>
        <w:t>A</w:t>
      </w:r>
      <w:r>
        <w:rPr>
          <w:rFonts w:cs="Times New Roman"/>
          <w:sz w:val="24"/>
          <w:szCs w:val="24"/>
          <w:lang w:val="en-US"/>
        </w:rPr>
        <w:t>.</w:t>
      </w:r>
      <w:r w:rsidRPr="00E5406F">
        <w:rPr>
          <w:rFonts w:cs="Times New Roman"/>
          <w:sz w:val="24"/>
          <w:szCs w:val="24"/>
          <w:lang w:val="en-US"/>
        </w:rPr>
        <w:t xml:space="preserve"> Hebshi, K</w:t>
      </w:r>
      <w:r>
        <w:rPr>
          <w:rFonts w:cs="Times New Roman"/>
          <w:sz w:val="24"/>
          <w:szCs w:val="24"/>
          <w:lang w:val="en-US"/>
        </w:rPr>
        <w:t>.</w:t>
      </w:r>
      <w:r w:rsidRPr="00E5406F">
        <w:rPr>
          <w:rFonts w:cs="Times New Roman"/>
          <w:sz w:val="24"/>
          <w:szCs w:val="24"/>
          <w:lang w:val="en-US"/>
        </w:rPr>
        <w:t xml:space="preserve"> Swift, P</w:t>
      </w:r>
      <w:r>
        <w:rPr>
          <w:rFonts w:cs="Times New Roman"/>
          <w:sz w:val="24"/>
          <w:szCs w:val="24"/>
          <w:lang w:val="en-US"/>
        </w:rPr>
        <w:t>.</w:t>
      </w:r>
      <w:r w:rsidRPr="00E5406F">
        <w:rPr>
          <w:rFonts w:cs="Times New Roman"/>
          <w:sz w:val="24"/>
          <w:szCs w:val="24"/>
          <w:lang w:val="en-US"/>
        </w:rPr>
        <w:t xml:space="preserve"> Dunlevy, D</w:t>
      </w:r>
      <w:r>
        <w:rPr>
          <w:rFonts w:cs="Times New Roman"/>
          <w:sz w:val="24"/>
          <w:szCs w:val="24"/>
          <w:lang w:val="en-US"/>
        </w:rPr>
        <w:t>.</w:t>
      </w:r>
      <w:r w:rsidRPr="00E5406F">
        <w:rPr>
          <w:rFonts w:cs="Times New Roman"/>
          <w:sz w:val="24"/>
          <w:szCs w:val="24"/>
          <w:lang w:val="en-US"/>
        </w:rPr>
        <w:t xml:space="preserve"> Vice, A</w:t>
      </w:r>
      <w:r>
        <w:rPr>
          <w:rFonts w:cs="Times New Roman"/>
          <w:sz w:val="24"/>
          <w:szCs w:val="24"/>
          <w:lang w:val="en-US"/>
        </w:rPr>
        <w:t>.</w:t>
      </w:r>
      <w:r w:rsidRPr="00E5406F">
        <w:rPr>
          <w:rFonts w:cs="Times New Roman"/>
          <w:sz w:val="24"/>
          <w:szCs w:val="24"/>
          <w:lang w:val="en-US"/>
        </w:rPr>
        <w:t xml:space="preserve"> Wegmann, B</w:t>
      </w:r>
      <w:r>
        <w:rPr>
          <w:rFonts w:cs="Times New Roman"/>
          <w:sz w:val="24"/>
          <w:szCs w:val="24"/>
          <w:lang w:val="en-US"/>
        </w:rPr>
        <w:t>.</w:t>
      </w:r>
      <w:r w:rsidRPr="00E5406F">
        <w:rPr>
          <w:rFonts w:cs="Times New Roman"/>
          <w:sz w:val="24"/>
          <w:szCs w:val="24"/>
          <w:lang w:val="en-US"/>
        </w:rPr>
        <w:t xml:space="preserve"> Jacobs, P</w:t>
      </w:r>
      <w:r>
        <w:rPr>
          <w:rFonts w:cs="Times New Roman"/>
          <w:sz w:val="24"/>
          <w:szCs w:val="24"/>
          <w:lang w:val="en-US"/>
        </w:rPr>
        <w:t>.</w:t>
      </w:r>
      <w:r w:rsidRPr="00E5406F">
        <w:rPr>
          <w:rFonts w:cs="Times New Roman"/>
          <w:sz w:val="24"/>
          <w:szCs w:val="24"/>
          <w:lang w:val="en-US"/>
        </w:rPr>
        <w:t xml:space="preserve"> McClelland, B</w:t>
      </w:r>
      <w:r>
        <w:rPr>
          <w:rFonts w:cs="Times New Roman"/>
          <w:sz w:val="24"/>
          <w:szCs w:val="24"/>
          <w:lang w:val="en-US"/>
        </w:rPr>
        <w:t>.</w:t>
      </w:r>
      <w:r w:rsidRPr="00E5406F">
        <w:rPr>
          <w:rFonts w:cs="Times New Roman"/>
          <w:sz w:val="24"/>
          <w:szCs w:val="24"/>
          <w:lang w:val="en-US"/>
        </w:rPr>
        <w:t xml:space="preserve"> Thomas, K</w:t>
      </w:r>
      <w:r>
        <w:rPr>
          <w:rFonts w:cs="Times New Roman"/>
          <w:sz w:val="24"/>
          <w:szCs w:val="24"/>
          <w:lang w:val="en-US"/>
        </w:rPr>
        <w:t>.</w:t>
      </w:r>
      <w:r w:rsidRPr="00E5406F">
        <w:rPr>
          <w:rFonts w:cs="Times New Roman"/>
          <w:sz w:val="24"/>
          <w:szCs w:val="24"/>
          <w:lang w:val="en-US"/>
        </w:rPr>
        <w:t xml:space="preserve"> Mate Traps </w:t>
      </w:r>
      <w:r>
        <w:rPr>
          <w:rFonts w:cs="Times New Roman"/>
          <w:sz w:val="24"/>
          <w:szCs w:val="24"/>
          <w:lang w:val="en-US"/>
        </w:rPr>
        <w:t xml:space="preserve">and </w:t>
      </w:r>
      <w:r w:rsidRPr="00E5406F">
        <w:rPr>
          <w:rFonts w:cs="Times New Roman"/>
          <w:sz w:val="24"/>
          <w:szCs w:val="24"/>
          <w:lang w:val="en-US"/>
        </w:rPr>
        <w:t>J</w:t>
      </w:r>
      <w:r>
        <w:rPr>
          <w:rFonts w:cs="Times New Roman"/>
          <w:sz w:val="24"/>
          <w:szCs w:val="24"/>
          <w:lang w:val="en-US"/>
        </w:rPr>
        <w:t>.</w:t>
      </w:r>
      <w:r w:rsidRPr="00E5406F">
        <w:rPr>
          <w:rFonts w:cs="Times New Roman"/>
          <w:sz w:val="24"/>
          <w:szCs w:val="24"/>
          <w:lang w:val="en-US"/>
        </w:rPr>
        <w:t xml:space="preserve"> Gilardi</w:t>
      </w:r>
      <w:r>
        <w:rPr>
          <w:rFonts w:cs="Times New Roman"/>
          <w:sz w:val="24"/>
          <w:szCs w:val="24"/>
          <w:lang w:val="en-US"/>
        </w:rPr>
        <w:t xml:space="preserve">. 2007. </w:t>
      </w:r>
      <w:r w:rsidRPr="00E5406F">
        <w:rPr>
          <w:rFonts w:cs="Times New Roman"/>
          <w:sz w:val="24"/>
          <w:szCs w:val="24"/>
          <w:lang w:val="en-US"/>
        </w:rPr>
        <w:t>Rat eradication feasibility study</w:t>
      </w:r>
      <w:r>
        <w:rPr>
          <w:rFonts w:cs="Times New Roman"/>
          <w:sz w:val="24"/>
          <w:szCs w:val="24"/>
          <w:lang w:val="en-US"/>
        </w:rPr>
        <w:t xml:space="preserve"> </w:t>
      </w:r>
      <w:r w:rsidRPr="00E5406F">
        <w:rPr>
          <w:rFonts w:cs="Times New Roman"/>
          <w:sz w:val="24"/>
          <w:szCs w:val="24"/>
          <w:lang w:val="en-US"/>
        </w:rPr>
        <w:t xml:space="preserve">29 </w:t>
      </w:r>
      <w:r>
        <w:rPr>
          <w:rFonts w:cs="Times New Roman"/>
          <w:sz w:val="24"/>
          <w:szCs w:val="24"/>
          <w:lang w:val="en-US"/>
        </w:rPr>
        <w:t>S</w:t>
      </w:r>
      <w:r w:rsidRPr="00E5406F">
        <w:rPr>
          <w:rFonts w:cs="Times New Roman"/>
          <w:sz w:val="24"/>
          <w:szCs w:val="24"/>
          <w:lang w:val="en-US"/>
        </w:rPr>
        <w:t xml:space="preserve">eptember </w:t>
      </w:r>
      <w:r>
        <w:rPr>
          <w:rFonts w:cs="Times New Roman"/>
          <w:sz w:val="24"/>
          <w:szCs w:val="24"/>
          <w:lang w:val="en-US"/>
        </w:rPr>
        <w:t>-</w:t>
      </w:r>
      <w:r w:rsidRPr="00E5406F">
        <w:rPr>
          <w:rFonts w:cs="Times New Roman"/>
          <w:sz w:val="24"/>
          <w:szCs w:val="24"/>
          <w:lang w:val="en-US"/>
        </w:rPr>
        <w:t xml:space="preserve"> 27 </w:t>
      </w:r>
      <w:r>
        <w:rPr>
          <w:rFonts w:cs="Times New Roman"/>
          <w:sz w:val="24"/>
          <w:szCs w:val="24"/>
          <w:lang w:val="en-US"/>
        </w:rPr>
        <w:t>O</w:t>
      </w:r>
      <w:r w:rsidRPr="00E5406F">
        <w:rPr>
          <w:rFonts w:cs="Times New Roman"/>
          <w:sz w:val="24"/>
          <w:szCs w:val="24"/>
          <w:lang w:val="en-US"/>
        </w:rPr>
        <w:t>ctober 2007</w:t>
      </w:r>
      <w:r>
        <w:rPr>
          <w:rFonts w:cs="Times New Roman"/>
          <w:sz w:val="24"/>
          <w:szCs w:val="24"/>
          <w:lang w:val="en-US"/>
        </w:rPr>
        <w:t>. Draft</w:t>
      </w:r>
      <w:r w:rsidRPr="00E5406F">
        <w:rPr>
          <w:rFonts w:cs="Times New Roman"/>
          <w:sz w:val="24"/>
          <w:szCs w:val="24"/>
          <w:lang w:val="en-US"/>
        </w:rPr>
        <w:t xml:space="preserve"> report summariz</w:t>
      </w:r>
      <w:r>
        <w:rPr>
          <w:rFonts w:cs="Times New Roman"/>
          <w:sz w:val="24"/>
          <w:szCs w:val="24"/>
          <w:lang w:val="en-US"/>
        </w:rPr>
        <w:t>ing</w:t>
      </w:r>
      <w:r w:rsidRPr="00E5406F">
        <w:rPr>
          <w:rFonts w:cs="Times New Roman"/>
          <w:sz w:val="24"/>
          <w:szCs w:val="24"/>
          <w:lang w:val="en-US"/>
        </w:rPr>
        <w:t xml:space="preserve"> the work conducted to determine the feasibility and approach for a full</w:t>
      </w:r>
      <w:r>
        <w:rPr>
          <w:rFonts w:cs="Times New Roman"/>
          <w:sz w:val="24"/>
          <w:szCs w:val="24"/>
          <w:lang w:val="en-US"/>
        </w:rPr>
        <w:t xml:space="preserve"> </w:t>
      </w:r>
      <w:r w:rsidRPr="00E5406F">
        <w:rPr>
          <w:rFonts w:cs="Times New Roman"/>
          <w:sz w:val="24"/>
          <w:szCs w:val="24"/>
          <w:lang w:val="en-US"/>
        </w:rPr>
        <w:t>eradication of rats from Wake Atoll.</w:t>
      </w:r>
    </w:p>
    <w:p w:rsidR="00DB0D69" w:rsidRPr="0099279C" w:rsidRDefault="00DB0D69" w:rsidP="0066299F">
      <w:pPr>
        <w:rPr>
          <w:rFonts w:cs="Times New Roman"/>
          <w:sz w:val="24"/>
          <w:szCs w:val="24"/>
          <w:lang w:val="en-US"/>
        </w:rPr>
      </w:pPr>
      <w:proofErr w:type="gramStart"/>
      <w:r w:rsidRPr="0099279C">
        <w:rPr>
          <w:rFonts w:cs="Times New Roman"/>
          <w:sz w:val="24"/>
          <w:szCs w:val="24"/>
          <w:lang w:val="en-US"/>
        </w:rPr>
        <w:t>Musser, G.G. and M.D. Carleton.</w:t>
      </w:r>
      <w:proofErr w:type="gramEnd"/>
      <w:r w:rsidRPr="0099279C">
        <w:rPr>
          <w:rFonts w:cs="Times New Roman"/>
          <w:sz w:val="24"/>
          <w:szCs w:val="24"/>
          <w:lang w:val="en-US"/>
        </w:rPr>
        <w:t xml:space="preserve"> 2005. Superfamily Muroidea. In: Wilson, D.E. and D.M. Reeder, Eds, Mammal Species of the World: A Taxonomic and Geographic Reference, 3rd edition. </w:t>
      </w:r>
      <w:proofErr w:type="gramStart"/>
      <w:r w:rsidRPr="0099279C">
        <w:rPr>
          <w:rFonts w:cs="Times New Roman"/>
          <w:sz w:val="24"/>
          <w:szCs w:val="24"/>
          <w:lang w:val="en-US"/>
        </w:rPr>
        <w:t>The Johns Hopkins University Press, Baltimore, MD.</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894–1531</w:t>
      </w:r>
      <w:r w:rsidR="00585FFC" w:rsidRPr="0099279C">
        <w:rPr>
          <w:rFonts w:cs="Times New Roman"/>
          <w:sz w:val="24"/>
          <w:szCs w:val="24"/>
          <w:lang w:val="en-US"/>
        </w:rPr>
        <w:t>.</w:t>
      </w:r>
      <w:r w:rsidRPr="0099279C">
        <w:rPr>
          <w:rFonts w:cs="Times New Roman"/>
          <w:sz w:val="24"/>
          <w:szCs w:val="24"/>
          <w:lang w:val="en-US"/>
        </w:rPr>
        <w:t xml:space="preserve"> </w:t>
      </w:r>
    </w:p>
    <w:p w:rsidR="00956963" w:rsidRDefault="00956963" w:rsidP="0062089F">
      <w:pPr>
        <w:rPr>
          <w:rFonts w:cs="Times New Roman"/>
          <w:sz w:val="24"/>
          <w:szCs w:val="24"/>
          <w:lang w:val="en-US"/>
        </w:rPr>
      </w:pPr>
      <w:r w:rsidRPr="0099279C">
        <w:rPr>
          <w:rFonts w:cs="Times New Roman"/>
          <w:sz w:val="24"/>
          <w:szCs w:val="24"/>
          <w:lang w:val="en-US"/>
        </w:rPr>
        <w:t xml:space="preserve">Nagy, K.A. 1987. </w:t>
      </w:r>
      <w:proofErr w:type="gramStart"/>
      <w:r w:rsidRPr="0099279C">
        <w:rPr>
          <w:rFonts w:cs="Times New Roman"/>
          <w:sz w:val="24"/>
          <w:szCs w:val="24"/>
          <w:lang w:val="en-US"/>
        </w:rPr>
        <w:t>Field metabolic rate and food requirements scaling in mammals and birds.</w:t>
      </w:r>
      <w:proofErr w:type="gramEnd"/>
      <w:r w:rsidRPr="0099279C">
        <w:rPr>
          <w:rFonts w:cs="Times New Roman"/>
          <w:sz w:val="24"/>
          <w:szCs w:val="24"/>
          <w:lang w:val="en-US"/>
        </w:rPr>
        <w:t xml:space="preserve"> </w:t>
      </w:r>
      <w:r w:rsidRPr="00BD2BE7">
        <w:rPr>
          <w:rFonts w:cs="Times New Roman"/>
          <w:i/>
          <w:sz w:val="24"/>
          <w:szCs w:val="24"/>
          <w:lang w:val="en-US"/>
        </w:rPr>
        <w:t>Ecological Monographs</w:t>
      </w:r>
      <w:r w:rsidR="00733A77" w:rsidRPr="00733A77">
        <w:rPr>
          <w:rFonts w:cs="Times New Roman"/>
          <w:sz w:val="24"/>
          <w:szCs w:val="24"/>
          <w:lang w:val="en-US"/>
        </w:rPr>
        <w:t>,</w:t>
      </w:r>
      <w:r w:rsidRPr="0099279C">
        <w:rPr>
          <w:rFonts w:cs="Times New Roman"/>
          <w:sz w:val="24"/>
          <w:szCs w:val="24"/>
          <w:lang w:val="en-US"/>
        </w:rPr>
        <w:t xml:space="preserve"> 57:111-128.</w:t>
      </w:r>
    </w:p>
    <w:p w:rsidR="001D4F82" w:rsidRPr="0099279C" w:rsidRDefault="001D4F82" w:rsidP="0062089F">
      <w:pPr>
        <w:rPr>
          <w:rFonts w:cs="Times New Roman"/>
          <w:sz w:val="24"/>
          <w:szCs w:val="24"/>
          <w:lang w:val="en-US"/>
        </w:rPr>
      </w:pPr>
      <w:proofErr w:type="gramStart"/>
      <w:r w:rsidRPr="001D4F82">
        <w:rPr>
          <w:rFonts w:cs="Times New Roman"/>
          <w:sz w:val="24"/>
          <w:szCs w:val="24"/>
          <w:lang w:val="en-US"/>
        </w:rPr>
        <w:t>Nur, N.,</w:t>
      </w:r>
      <w:r>
        <w:rPr>
          <w:rFonts w:cs="Times New Roman"/>
          <w:sz w:val="24"/>
          <w:szCs w:val="24"/>
          <w:lang w:val="en-US"/>
        </w:rPr>
        <w:t xml:space="preserve"> </w:t>
      </w:r>
      <w:r w:rsidRPr="001D4F82">
        <w:rPr>
          <w:rFonts w:cs="Times New Roman"/>
          <w:sz w:val="24"/>
          <w:szCs w:val="24"/>
          <w:lang w:val="en-US"/>
        </w:rPr>
        <w:t>R.W. Bradley, D.E. Lee, P.M. Warzybok and J. Jahncke.</w:t>
      </w:r>
      <w:proofErr w:type="gramEnd"/>
      <w:r w:rsidRPr="001D4F82">
        <w:rPr>
          <w:rFonts w:cs="Times New Roman"/>
          <w:sz w:val="24"/>
          <w:szCs w:val="24"/>
          <w:lang w:val="en-US"/>
        </w:rPr>
        <w:t xml:space="preserve"> 2012. Population Viability Analysis of Western Gulls on the Farallon Islands in Relation to Potential Mortality Due to Proposed House Mouse Eradication. </w:t>
      </w:r>
      <w:proofErr w:type="gramStart"/>
      <w:r w:rsidRPr="001D4F82">
        <w:rPr>
          <w:rFonts w:cs="Times New Roman"/>
          <w:sz w:val="24"/>
          <w:szCs w:val="24"/>
          <w:lang w:val="en-US"/>
        </w:rPr>
        <w:t>Unpublished report to the US Fish and Wildlife Service.</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Conservation Science, Petaluma, California.</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Contribution Number 1868.</w:t>
      </w:r>
      <w:proofErr w:type="gramEnd"/>
    </w:p>
    <w:p w:rsidR="00F067FF" w:rsidRDefault="00F067FF" w:rsidP="0062089F">
      <w:pPr>
        <w:rPr>
          <w:rFonts w:cs="Times New Roman"/>
          <w:sz w:val="24"/>
          <w:szCs w:val="24"/>
          <w:lang w:val="en-US"/>
        </w:rPr>
      </w:pPr>
      <w:proofErr w:type="gramStart"/>
      <w:r w:rsidRPr="0099279C">
        <w:rPr>
          <w:rFonts w:cs="Times New Roman"/>
          <w:sz w:val="24"/>
          <w:szCs w:val="24"/>
          <w:lang w:val="en-US"/>
        </w:rPr>
        <w:t>Ogilvie, S.C., R.J. Pierce, G.R.G. Wright, L.H. Booth and C.T. Eason.</w:t>
      </w:r>
      <w:proofErr w:type="gramEnd"/>
      <w:r w:rsidRPr="0099279C">
        <w:rPr>
          <w:rFonts w:cs="Times New Roman"/>
          <w:sz w:val="24"/>
          <w:szCs w:val="24"/>
          <w:lang w:val="en-US"/>
        </w:rPr>
        <w:t xml:space="preserve"> 1997. Brodifacoum residue analysis in water, soil, invertebrates, and birds after rat eradication on Lady Alice Island.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21:195-197.</w:t>
      </w:r>
    </w:p>
    <w:p w:rsidR="00733A77" w:rsidRPr="0099279C" w:rsidRDefault="00733A77" w:rsidP="00733A77">
      <w:pPr>
        <w:rPr>
          <w:rFonts w:cs="Times New Roman"/>
          <w:sz w:val="24"/>
          <w:szCs w:val="24"/>
          <w:lang w:val="en-US"/>
        </w:rPr>
      </w:pPr>
      <w:proofErr w:type="gramStart"/>
      <w:r w:rsidRPr="00733A77">
        <w:rPr>
          <w:rFonts w:cs="Times New Roman"/>
          <w:sz w:val="24"/>
          <w:szCs w:val="24"/>
          <w:lang w:val="en-US"/>
        </w:rPr>
        <w:t>Parkes</w:t>
      </w:r>
      <w:r>
        <w:rPr>
          <w:rFonts w:cs="Times New Roman"/>
          <w:sz w:val="24"/>
          <w:szCs w:val="24"/>
          <w:lang w:val="en-US"/>
        </w:rPr>
        <w:t>, J.</w:t>
      </w:r>
      <w:r w:rsidRPr="00733A77">
        <w:rPr>
          <w:rFonts w:cs="Times New Roman"/>
          <w:sz w:val="24"/>
          <w:szCs w:val="24"/>
          <w:lang w:val="en-US"/>
        </w:rPr>
        <w:t>, P</w:t>
      </w:r>
      <w:r>
        <w:rPr>
          <w:rFonts w:cs="Times New Roman"/>
          <w:sz w:val="24"/>
          <w:szCs w:val="24"/>
          <w:lang w:val="en-US"/>
        </w:rPr>
        <w:t>.</w:t>
      </w:r>
      <w:r w:rsidRPr="00733A77">
        <w:rPr>
          <w:rFonts w:cs="Times New Roman"/>
          <w:sz w:val="24"/>
          <w:szCs w:val="24"/>
          <w:lang w:val="en-US"/>
        </w:rPr>
        <w:t xml:space="preserve"> Fisher </w:t>
      </w:r>
      <w:r>
        <w:rPr>
          <w:rFonts w:cs="Times New Roman"/>
          <w:sz w:val="24"/>
          <w:szCs w:val="24"/>
          <w:lang w:val="en-US"/>
        </w:rPr>
        <w:t>and</w:t>
      </w:r>
      <w:r w:rsidRPr="00733A77">
        <w:rPr>
          <w:rFonts w:cs="Times New Roman"/>
          <w:sz w:val="24"/>
          <w:szCs w:val="24"/>
          <w:lang w:val="en-US"/>
        </w:rPr>
        <w:t xml:space="preserve"> G</w:t>
      </w:r>
      <w:r>
        <w:rPr>
          <w:rFonts w:cs="Times New Roman"/>
          <w:sz w:val="24"/>
          <w:szCs w:val="24"/>
          <w:lang w:val="en-US"/>
        </w:rPr>
        <w:t>.</w:t>
      </w:r>
      <w:r w:rsidRPr="00733A77">
        <w:rPr>
          <w:rFonts w:cs="Times New Roman"/>
          <w:sz w:val="24"/>
          <w:szCs w:val="24"/>
          <w:lang w:val="en-US"/>
        </w:rPr>
        <w:t xml:space="preserve"> Forrester</w:t>
      </w:r>
      <w:r>
        <w:rPr>
          <w:rFonts w:cs="Times New Roman"/>
          <w:sz w:val="24"/>
          <w:szCs w:val="24"/>
          <w:lang w:val="en-US"/>
        </w:rPr>
        <w:t>.</w:t>
      </w:r>
      <w:proofErr w:type="gramEnd"/>
      <w:r>
        <w:rPr>
          <w:rFonts w:cs="Times New Roman"/>
          <w:sz w:val="24"/>
          <w:szCs w:val="24"/>
          <w:lang w:val="en-US"/>
        </w:rPr>
        <w:t xml:space="preserve"> 2011. </w:t>
      </w:r>
      <w:r w:rsidRPr="00733A77">
        <w:rPr>
          <w:rFonts w:cs="Times New Roman"/>
          <w:sz w:val="24"/>
          <w:szCs w:val="24"/>
          <w:lang w:val="en-US"/>
        </w:rPr>
        <w:t>Diagnosing the cause of failure to eradicate</w:t>
      </w:r>
      <w:r>
        <w:rPr>
          <w:rFonts w:cs="Times New Roman"/>
          <w:sz w:val="24"/>
          <w:szCs w:val="24"/>
          <w:lang w:val="en-US"/>
        </w:rPr>
        <w:t xml:space="preserve"> </w:t>
      </w:r>
      <w:r w:rsidRPr="00733A77">
        <w:rPr>
          <w:rFonts w:cs="Times New Roman"/>
          <w:sz w:val="24"/>
          <w:szCs w:val="24"/>
          <w:lang w:val="en-US"/>
        </w:rPr>
        <w:t>introduced rodents on islands: brodifacoum</w:t>
      </w:r>
      <w:r>
        <w:rPr>
          <w:rFonts w:cs="Times New Roman"/>
          <w:sz w:val="24"/>
          <w:szCs w:val="24"/>
          <w:lang w:val="en-US"/>
        </w:rPr>
        <w:t xml:space="preserve"> </w:t>
      </w:r>
      <w:r w:rsidRPr="00733A77">
        <w:rPr>
          <w:rFonts w:cs="Times New Roman"/>
          <w:sz w:val="24"/>
          <w:szCs w:val="24"/>
          <w:lang w:val="en-US"/>
        </w:rPr>
        <w:t>versus diphacinone and method of bait</w:t>
      </w:r>
      <w:r>
        <w:rPr>
          <w:rFonts w:cs="Times New Roman"/>
          <w:sz w:val="24"/>
          <w:szCs w:val="24"/>
          <w:lang w:val="en-US"/>
        </w:rPr>
        <w:t xml:space="preserve"> </w:t>
      </w:r>
      <w:r w:rsidRPr="00733A77">
        <w:rPr>
          <w:rFonts w:cs="Times New Roman"/>
          <w:sz w:val="24"/>
          <w:szCs w:val="24"/>
          <w:lang w:val="en-US"/>
        </w:rPr>
        <w:t>delivery</w:t>
      </w:r>
      <w:r>
        <w:rPr>
          <w:rFonts w:cs="Times New Roman"/>
          <w:sz w:val="24"/>
          <w:szCs w:val="24"/>
          <w:lang w:val="en-US"/>
        </w:rPr>
        <w:t xml:space="preserve">. </w:t>
      </w:r>
      <w:r w:rsidRPr="00733A77">
        <w:rPr>
          <w:rFonts w:cs="Times New Roman"/>
          <w:i/>
          <w:sz w:val="24"/>
          <w:szCs w:val="24"/>
          <w:lang w:val="en-US"/>
        </w:rPr>
        <w:t>Conservation Evidence</w:t>
      </w:r>
      <w:r>
        <w:rPr>
          <w:rFonts w:cs="Times New Roman"/>
          <w:sz w:val="24"/>
          <w:szCs w:val="24"/>
          <w:lang w:val="en-US"/>
        </w:rPr>
        <w:t>,</w:t>
      </w:r>
      <w:r w:rsidRPr="00733A77">
        <w:rPr>
          <w:rFonts w:cs="Times New Roman"/>
          <w:sz w:val="24"/>
          <w:szCs w:val="24"/>
          <w:lang w:val="en-US"/>
        </w:rPr>
        <w:t xml:space="preserve"> 8</w:t>
      </w:r>
      <w:r>
        <w:rPr>
          <w:rFonts w:cs="Times New Roman"/>
          <w:sz w:val="24"/>
          <w:szCs w:val="24"/>
          <w:lang w:val="en-US"/>
        </w:rPr>
        <w:t>:</w:t>
      </w:r>
      <w:r w:rsidRPr="00733A77">
        <w:rPr>
          <w:rFonts w:cs="Times New Roman"/>
          <w:sz w:val="24"/>
          <w:szCs w:val="24"/>
          <w:lang w:val="en-US"/>
        </w:rPr>
        <w:t xml:space="preserve"> 100-106</w:t>
      </w:r>
      <w:r>
        <w:rPr>
          <w:rFonts w:cs="Times New Roman"/>
          <w:sz w:val="24"/>
          <w:szCs w:val="24"/>
          <w:lang w:val="en-US"/>
        </w:rPr>
        <w:t>.</w:t>
      </w:r>
    </w:p>
    <w:p w:rsidR="00186BBB" w:rsidRPr="0099279C" w:rsidRDefault="00186BBB" w:rsidP="0062089F">
      <w:pPr>
        <w:rPr>
          <w:rFonts w:cs="Times New Roman"/>
          <w:sz w:val="24"/>
          <w:szCs w:val="24"/>
          <w:lang w:val="en-US"/>
        </w:rPr>
      </w:pPr>
      <w:proofErr w:type="gramStart"/>
      <w:r w:rsidRPr="0099279C">
        <w:rPr>
          <w:rFonts w:cs="Times New Roman"/>
          <w:sz w:val="24"/>
          <w:szCs w:val="24"/>
          <w:lang w:val="en-US"/>
        </w:rPr>
        <w:t>Penniman, T.M., M.C. Coulter, L.B. Spear and R.J. Boekelheide.</w:t>
      </w:r>
      <w:proofErr w:type="gramEnd"/>
      <w:r w:rsidRPr="0099279C">
        <w:rPr>
          <w:rFonts w:cs="Times New Roman"/>
          <w:sz w:val="24"/>
          <w:szCs w:val="24"/>
          <w:lang w:val="en-US"/>
        </w:rPr>
        <w:t xml:space="preserve"> 1990. Western gull. </w:t>
      </w:r>
      <w:r w:rsidR="00DF74F4" w:rsidRPr="0099279C">
        <w:rPr>
          <w:rFonts w:cs="Times New Roman"/>
          <w:sz w:val="24"/>
          <w:szCs w:val="24"/>
          <w:lang w:val="en-US"/>
        </w:rPr>
        <w:t>In: D.G. Ainley and R.J. Boelkelheide, Eds, Seabirds of the Farallon Islands: Ecology, Dynamics and Structure of an Upwelling System Community. Stanford University Press, Palo Alta, CA. Pages 218-244.</w:t>
      </w:r>
    </w:p>
    <w:p w:rsidR="00A906C6" w:rsidRPr="0099279C" w:rsidRDefault="00A906C6" w:rsidP="0062089F">
      <w:pPr>
        <w:rPr>
          <w:rFonts w:cs="Times New Roman"/>
          <w:sz w:val="24"/>
          <w:szCs w:val="24"/>
          <w:lang w:val="en-US"/>
        </w:rPr>
      </w:pPr>
      <w:r w:rsidRPr="0099279C">
        <w:rPr>
          <w:rFonts w:cs="Times New Roman"/>
          <w:sz w:val="24"/>
          <w:szCs w:val="24"/>
          <w:lang w:val="en-US"/>
        </w:rPr>
        <w:t xml:space="preserve">Pierotti, R. 1976. </w:t>
      </w:r>
      <w:proofErr w:type="gramStart"/>
      <w:r w:rsidRPr="0099279C">
        <w:rPr>
          <w:rFonts w:cs="Times New Roman"/>
          <w:sz w:val="24"/>
          <w:szCs w:val="24"/>
          <w:lang w:val="en-US"/>
        </w:rPr>
        <w:t>Sex roles, social structure, and the role of the environment in the western gull.</w:t>
      </w:r>
      <w:proofErr w:type="gramEnd"/>
      <w:r w:rsidRPr="0099279C">
        <w:rPr>
          <w:rFonts w:cs="Times New Roman"/>
          <w:sz w:val="24"/>
          <w:szCs w:val="24"/>
          <w:lang w:val="en-US"/>
        </w:rPr>
        <w:t xml:space="preserve"> </w:t>
      </w:r>
      <w:proofErr w:type="gramStart"/>
      <w:r w:rsidRPr="0099279C">
        <w:rPr>
          <w:rFonts w:cs="Times New Roman"/>
          <w:sz w:val="24"/>
          <w:szCs w:val="24"/>
          <w:lang w:val="en-US"/>
        </w:rPr>
        <w:t>Master’s thesis, California State University, Sacramento, CA.</w:t>
      </w:r>
      <w:proofErr w:type="gramEnd"/>
    </w:p>
    <w:p w:rsidR="00A906C6" w:rsidRPr="0099279C" w:rsidRDefault="00A906C6" w:rsidP="0062089F">
      <w:pPr>
        <w:rPr>
          <w:rFonts w:cs="Times New Roman"/>
          <w:sz w:val="24"/>
          <w:szCs w:val="24"/>
          <w:lang w:val="en-US"/>
        </w:rPr>
      </w:pPr>
      <w:r w:rsidRPr="0099279C">
        <w:rPr>
          <w:rFonts w:cs="Times New Roman"/>
          <w:sz w:val="24"/>
          <w:szCs w:val="24"/>
          <w:lang w:val="en-US"/>
        </w:rPr>
        <w:t xml:space="preserve">Pierotti, R. 1980. </w:t>
      </w:r>
      <w:proofErr w:type="gramStart"/>
      <w:r w:rsidRPr="0099279C">
        <w:rPr>
          <w:rFonts w:cs="Times New Roman"/>
          <w:sz w:val="24"/>
          <w:szCs w:val="24"/>
          <w:lang w:val="en-US"/>
        </w:rPr>
        <w:t>Spite and altruism in gulls.</w:t>
      </w:r>
      <w:proofErr w:type="gramEnd"/>
      <w:r w:rsidRPr="0099279C">
        <w:rPr>
          <w:rFonts w:cs="Times New Roman"/>
          <w:sz w:val="24"/>
          <w:szCs w:val="24"/>
          <w:lang w:val="en-US"/>
        </w:rPr>
        <w:t xml:space="preserve"> </w:t>
      </w:r>
      <w:r w:rsidRPr="00BD2BE7">
        <w:rPr>
          <w:rFonts w:cs="Times New Roman"/>
          <w:i/>
          <w:sz w:val="24"/>
          <w:szCs w:val="24"/>
          <w:lang w:val="en-US"/>
        </w:rPr>
        <w:t>American Naturalist</w:t>
      </w:r>
      <w:r w:rsidR="00BD2BE7">
        <w:rPr>
          <w:rFonts w:cs="Times New Roman"/>
          <w:sz w:val="24"/>
          <w:szCs w:val="24"/>
          <w:lang w:val="en-US"/>
        </w:rPr>
        <w:t>,</w:t>
      </w:r>
      <w:r w:rsidRPr="0099279C">
        <w:rPr>
          <w:rFonts w:cs="Times New Roman"/>
          <w:sz w:val="24"/>
          <w:szCs w:val="24"/>
          <w:lang w:val="en-US"/>
        </w:rPr>
        <w:t xml:space="preserve"> 115:290-300.</w:t>
      </w:r>
    </w:p>
    <w:p w:rsidR="00956F61" w:rsidRPr="0099279C" w:rsidRDefault="00956F61" w:rsidP="0062089F">
      <w:pPr>
        <w:rPr>
          <w:rFonts w:cs="Times New Roman"/>
          <w:sz w:val="24"/>
          <w:szCs w:val="24"/>
          <w:lang w:val="en-US"/>
        </w:rPr>
      </w:pPr>
      <w:r w:rsidRPr="0099279C">
        <w:rPr>
          <w:rFonts w:cs="Times New Roman"/>
          <w:sz w:val="24"/>
          <w:szCs w:val="24"/>
          <w:lang w:val="en-US"/>
        </w:rPr>
        <w:t xml:space="preserve">Pierotti, R. 1981. </w:t>
      </w:r>
      <w:proofErr w:type="gramStart"/>
      <w:r w:rsidRPr="0099279C">
        <w:rPr>
          <w:rFonts w:cs="Times New Roman"/>
          <w:sz w:val="24"/>
          <w:szCs w:val="24"/>
          <w:lang w:val="en-US"/>
        </w:rPr>
        <w:t>Male and female parental roles in the western gull under different environmental conditions.</w:t>
      </w:r>
      <w:proofErr w:type="gramEnd"/>
      <w:r w:rsidRPr="0099279C">
        <w:rPr>
          <w:rFonts w:cs="Times New Roman"/>
          <w:sz w:val="24"/>
          <w:szCs w:val="24"/>
          <w:lang w:val="en-US"/>
        </w:rPr>
        <w:t xml:space="preserve">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98:532-549.</w:t>
      </w:r>
    </w:p>
    <w:p w:rsidR="00A906C6" w:rsidRPr="0099279C" w:rsidRDefault="00A906C6" w:rsidP="0062089F">
      <w:pPr>
        <w:rPr>
          <w:rFonts w:cs="Times New Roman"/>
          <w:sz w:val="24"/>
          <w:szCs w:val="24"/>
          <w:lang w:val="en-US"/>
        </w:rPr>
      </w:pPr>
      <w:proofErr w:type="gramStart"/>
      <w:r w:rsidRPr="0099279C">
        <w:rPr>
          <w:rFonts w:cs="Times New Roman"/>
          <w:sz w:val="24"/>
          <w:szCs w:val="24"/>
          <w:lang w:val="en-US"/>
        </w:rPr>
        <w:t>Pierotti, R. and C.A. Annett, 1991.</w:t>
      </w:r>
      <w:proofErr w:type="gramEnd"/>
      <w:r w:rsidRPr="0099279C">
        <w:rPr>
          <w:rFonts w:cs="Times New Roman"/>
          <w:sz w:val="24"/>
          <w:szCs w:val="24"/>
          <w:lang w:val="en-US"/>
        </w:rPr>
        <w:t xml:space="preserve"> </w:t>
      </w:r>
      <w:proofErr w:type="gramStart"/>
      <w:r w:rsidRPr="0099279C">
        <w:rPr>
          <w:rFonts w:cs="Times New Roman"/>
          <w:sz w:val="24"/>
          <w:szCs w:val="24"/>
          <w:lang w:val="en-US"/>
        </w:rPr>
        <w:t>Diet choice in the herring gull: Effects of constraints imposed by reproduction and ecology.</w:t>
      </w:r>
      <w:proofErr w:type="gramEnd"/>
      <w:r w:rsidRPr="0099279C">
        <w:rPr>
          <w:rFonts w:cs="Times New Roman"/>
          <w:sz w:val="24"/>
          <w:szCs w:val="24"/>
          <w:lang w:val="en-US"/>
        </w:rPr>
        <w:t xml:space="preserve"> </w:t>
      </w:r>
      <w:r w:rsidRPr="00BD2BE7">
        <w:rPr>
          <w:rFonts w:cs="Times New Roman"/>
          <w:i/>
          <w:sz w:val="24"/>
          <w:szCs w:val="24"/>
          <w:lang w:val="en-US"/>
        </w:rPr>
        <w:t>Ecology</w:t>
      </w:r>
      <w:r w:rsidR="00BD2BE7">
        <w:rPr>
          <w:rFonts w:cs="Times New Roman"/>
          <w:sz w:val="24"/>
          <w:szCs w:val="24"/>
          <w:lang w:val="en-US"/>
        </w:rPr>
        <w:t>,</w:t>
      </w:r>
      <w:r w:rsidRPr="0099279C">
        <w:rPr>
          <w:rFonts w:cs="Times New Roman"/>
          <w:sz w:val="24"/>
          <w:szCs w:val="24"/>
          <w:lang w:val="en-US"/>
        </w:rPr>
        <w:t xml:space="preserve"> 72:319-328.</w:t>
      </w:r>
    </w:p>
    <w:p w:rsidR="001B282E" w:rsidRDefault="001B282E" w:rsidP="0062089F">
      <w:pPr>
        <w:rPr>
          <w:rStyle w:val="Hyperlink"/>
          <w:rFonts w:cs="Times New Roman"/>
          <w:sz w:val="24"/>
          <w:szCs w:val="24"/>
          <w:lang w:val="en-US"/>
        </w:rPr>
      </w:pPr>
      <w:proofErr w:type="gramStart"/>
      <w:r w:rsidRPr="0099279C">
        <w:rPr>
          <w:rFonts w:cs="Times New Roman"/>
          <w:sz w:val="24"/>
          <w:szCs w:val="24"/>
          <w:lang w:val="en-US"/>
        </w:rPr>
        <w:t>Pierotti, R.J. and C.A. Annett.</w:t>
      </w:r>
      <w:proofErr w:type="gramEnd"/>
      <w:r w:rsidRPr="0099279C">
        <w:rPr>
          <w:rFonts w:cs="Times New Roman"/>
          <w:sz w:val="24"/>
          <w:szCs w:val="24"/>
          <w:lang w:val="en-US"/>
        </w:rPr>
        <w:t xml:space="preserve"> 1995. Western gull (</w:t>
      </w:r>
      <w:r w:rsidRPr="0099279C">
        <w:rPr>
          <w:rFonts w:cs="Times New Roman"/>
          <w:i/>
          <w:sz w:val="24"/>
          <w:szCs w:val="24"/>
          <w:lang w:val="en-US"/>
        </w:rPr>
        <w:t>Larus occidentalis</w:t>
      </w:r>
      <w:r w:rsidRPr="0099279C">
        <w:rPr>
          <w:rFonts w:cs="Times New Roman"/>
          <w:sz w:val="24"/>
          <w:szCs w:val="24"/>
          <w:lang w:val="en-US"/>
        </w:rPr>
        <w:t xml:space="preserve">). In: A. Poole, Ed, </w:t>
      </w:r>
      <w:proofErr w:type="gramStart"/>
      <w:r w:rsidRPr="0099279C">
        <w:rPr>
          <w:rFonts w:cs="Times New Roman"/>
          <w:sz w:val="24"/>
          <w:szCs w:val="24"/>
          <w:lang w:val="en-US"/>
        </w:rPr>
        <w:t>The</w:t>
      </w:r>
      <w:proofErr w:type="gramEnd"/>
      <w:r w:rsidRPr="0099279C">
        <w:rPr>
          <w:rFonts w:cs="Times New Roman"/>
          <w:sz w:val="24"/>
          <w:szCs w:val="24"/>
          <w:lang w:val="en-US"/>
        </w:rPr>
        <w:t xml:space="preserve"> Birds of North America Online. </w:t>
      </w:r>
      <w:proofErr w:type="gramStart"/>
      <w:r w:rsidRPr="0099279C">
        <w:rPr>
          <w:rFonts w:cs="Times New Roman"/>
          <w:sz w:val="24"/>
          <w:szCs w:val="24"/>
          <w:lang w:val="en-US"/>
        </w:rPr>
        <w:t>Cornell Lab of Ornithology, Ithaca, NY.</w:t>
      </w:r>
      <w:proofErr w:type="gramEnd"/>
      <w:r w:rsidRPr="0099279C">
        <w:rPr>
          <w:rFonts w:cs="Times New Roman"/>
          <w:sz w:val="24"/>
          <w:szCs w:val="24"/>
          <w:lang w:val="en-US"/>
        </w:rPr>
        <w:t xml:space="preserve"> </w:t>
      </w:r>
      <w:hyperlink r:id="rId55" w:history="1">
        <w:r w:rsidR="009B6A64" w:rsidRPr="0099279C">
          <w:rPr>
            <w:rStyle w:val="Hyperlink"/>
            <w:rFonts w:cs="Times New Roman"/>
            <w:sz w:val="24"/>
            <w:szCs w:val="24"/>
            <w:lang w:val="en-US"/>
          </w:rPr>
          <w:t>http://bna.birds.cornell.edu/bna/species/174</w:t>
        </w:r>
      </w:hyperlink>
    </w:p>
    <w:p w:rsidR="00CA228C" w:rsidRDefault="00CA228C" w:rsidP="00CA228C">
      <w:pPr>
        <w:rPr>
          <w:rStyle w:val="Hyperlink"/>
          <w:rFonts w:cs="Times New Roman"/>
          <w:color w:val="auto"/>
          <w:sz w:val="24"/>
          <w:szCs w:val="24"/>
          <w:u w:val="none"/>
          <w:lang w:val="en-US"/>
        </w:rPr>
      </w:pPr>
      <w:proofErr w:type="gramStart"/>
      <w:r w:rsidRPr="00CA228C">
        <w:rPr>
          <w:rStyle w:val="Hyperlink"/>
          <w:rFonts w:cs="Times New Roman"/>
          <w:color w:val="auto"/>
          <w:sz w:val="24"/>
          <w:szCs w:val="24"/>
          <w:u w:val="none"/>
          <w:lang w:val="en-US"/>
        </w:rPr>
        <w:t>Pitt</w:t>
      </w:r>
      <w:r>
        <w:rPr>
          <w:rStyle w:val="Hyperlink"/>
          <w:rFonts w:cs="Times New Roman"/>
          <w:color w:val="auto"/>
          <w:sz w:val="24"/>
          <w:szCs w:val="24"/>
          <w:u w:val="none"/>
          <w:lang w:val="en-US"/>
        </w:rPr>
        <w:t xml:space="preserve">, W.C., </w:t>
      </w:r>
      <w:r w:rsidRPr="00CA228C">
        <w:rPr>
          <w:rStyle w:val="Hyperlink"/>
          <w:rFonts w:cs="Times New Roman"/>
          <w:color w:val="auto"/>
          <w:sz w:val="24"/>
          <w:szCs w:val="24"/>
          <w:u w:val="none"/>
          <w:lang w:val="en-US"/>
        </w:rPr>
        <w:t>L</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C. Driscoll </w:t>
      </w:r>
      <w:r>
        <w:rPr>
          <w:rStyle w:val="Hyperlink"/>
          <w:rFonts w:cs="Times New Roman"/>
          <w:color w:val="auto"/>
          <w:sz w:val="24"/>
          <w:szCs w:val="24"/>
          <w:u w:val="none"/>
          <w:lang w:val="en-US"/>
        </w:rPr>
        <w:t xml:space="preserve">and </w:t>
      </w:r>
      <w:r w:rsidRPr="00CA228C">
        <w:rPr>
          <w:rStyle w:val="Hyperlink"/>
          <w:rFonts w:cs="Times New Roman"/>
          <w:color w:val="auto"/>
          <w:sz w:val="24"/>
          <w:szCs w:val="24"/>
          <w:u w:val="none"/>
          <w:lang w:val="en-US"/>
        </w:rPr>
        <w:t>R</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T. Sugihara</w:t>
      </w:r>
      <w:r>
        <w:rPr>
          <w:rStyle w:val="Hyperlink"/>
          <w:rFonts w:cs="Times New Roman"/>
          <w:color w:val="auto"/>
          <w:sz w:val="24"/>
          <w:szCs w:val="24"/>
          <w:u w:val="none"/>
          <w:lang w:val="en-US"/>
        </w:rPr>
        <w:t>.</w:t>
      </w:r>
      <w:proofErr w:type="gramEnd"/>
      <w:r>
        <w:rPr>
          <w:rStyle w:val="Hyperlink"/>
          <w:rFonts w:cs="Times New Roman"/>
          <w:color w:val="auto"/>
          <w:sz w:val="24"/>
          <w:szCs w:val="24"/>
          <w:u w:val="none"/>
          <w:lang w:val="en-US"/>
        </w:rPr>
        <w:t xml:space="preserve"> 2011. </w:t>
      </w:r>
      <w:r w:rsidRPr="00CA228C">
        <w:rPr>
          <w:rStyle w:val="Hyperlink"/>
          <w:rFonts w:cs="Times New Roman"/>
          <w:color w:val="auto"/>
          <w:sz w:val="24"/>
          <w:szCs w:val="24"/>
          <w:u w:val="none"/>
          <w:lang w:val="en-US"/>
        </w:rPr>
        <w:t xml:space="preserve">Efficacy of </w:t>
      </w:r>
      <w:r>
        <w:rPr>
          <w:rStyle w:val="Hyperlink"/>
          <w:rFonts w:cs="Times New Roman"/>
          <w:color w:val="auto"/>
          <w:sz w:val="24"/>
          <w:szCs w:val="24"/>
          <w:u w:val="none"/>
          <w:lang w:val="en-US"/>
        </w:rPr>
        <w:t>r</w:t>
      </w:r>
      <w:r w:rsidRPr="00CA228C">
        <w:rPr>
          <w:rStyle w:val="Hyperlink"/>
          <w:rFonts w:cs="Times New Roman"/>
          <w:color w:val="auto"/>
          <w:sz w:val="24"/>
          <w:szCs w:val="24"/>
          <w:u w:val="none"/>
          <w:lang w:val="en-US"/>
        </w:rPr>
        <w:t xml:space="preserve">odenticide </w:t>
      </w:r>
      <w:r>
        <w:rPr>
          <w:rStyle w:val="Hyperlink"/>
          <w:rFonts w:cs="Times New Roman"/>
          <w:color w:val="auto"/>
          <w:sz w:val="24"/>
          <w:szCs w:val="24"/>
          <w:u w:val="none"/>
          <w:lang w:val="en-US"/>
        </w:rPr>
        <w:t>b</w:t>
      </w:r>
      <w:r w:rsidRPr="00CA228C">
        <w:rPr>
          <w:rStyle w:val="Hyperlink"/>
          <w:rFonts w:cs="Times New Roman"/>
          <w:color w:val="auto"/>
          <w:sz w:val="24"/>
          <w:szCs w:val="24"/>
          <w:u w:val="none"/>
          <w:lang w:val="en-US"/>
        </w:rPr>
        <w:t xml:space="preserve">aits for the </w:t>
      </w:r>
      <w:r>
        <w:rPr>
          <w:rStyle w:val="Hyperlink"/>
          <w:rFonts w:cs="Times New Roman"/>
          <w:color w:val="auto"/>
          <w:sz w:val="24"/>
          <w:szCs w:val="24"/>
          <w:u w:val="none"/>
          <w:lang w:val="en-US"/>
        </w:rPr>
        <w:t>c</w:t>
      </w:r>
      <w:r w:rsidRPr="00CA228C">
        <w:rPr>
          <w:rStyle w:val="Hyperlink"/>
          <w:rFonts w:cs="Times New Roman"/>
          <w:color w:val="auto"/>
          <w:sz w:val="24"/>
          <w:szCs w:val="24"/>
          <w:u w:val="none"/>
          <w:lang w:val="en-US"/>
        </w:rPr>
        <w:t xml:space="preserve">ontrol of </w:t>
      </w:r>
      <w:r>
        <w:rPr>
          <w:rStyle w:val="Hyperlink"/>
          <w:rFonts w:cs="Times New Roman"/>
          <w:color w:val="auto"/>
          <w:sz w:val="24"/>
          <w:szCs w:val="24"/>
          <w:u w:val="none"/>
          <w:lang w:val="en-US"/>
        </w:rPr>
        <w:t>t</w:t>
      </w:r>
      <w:r w:rsidRPr="00CA228C">
        <w:rPr>
          <w:rStyle w:val="Hyperlink"/>
          <w:rFonts w:cs="Times New Roman"/>
          <w:color w:val="auto"/>
          <w:sz w:val="24"/>
          <w:szCs w:val="24"/>
          <w:u w:val="none"/>
          <w:lang w:val="en-US"/>
        </w:rPr>
        <w:t xml:space="preserve">hree </w:t>
      </w:r>
      <w:r>
        <w:rPr>
          <w:rStyle w:val="Hyperlink"/>
          <w:rFonts w:cs="Times New Roman"/>
          <w:color w:val="auto"/>
          <w:sz w:val="24"/>
          <w:szCs w:val="24"/>
          <w:u w:val="none"/>
          <w:lang w:val="en-US"/>
        </w:rPr>
        <w:t>i</w:t>
      </w:r>
      <w:r w:rsidRPr="00CA228C">
        <w:rPr>
          <w:rStyle w:val="Hyperlink"/>
          <w:rFonts w:cs="Times New Roman"/>
          <w:color w:val="auto"/>
          <w:sz w:val="24"/>
          <w:szCs w:val="24"/>
          <w:u w:val="none"/>
          <w:lang w:val="en-US"/>
        </w:rPr>
        <w:t>nvasive</w:t>
      </w:r>
      <w:r>
        <w:rPr>
          <w:rStyle w:val="Hyperlink"/>
          <w:rFonts w:cs="Times New Roman"/>
          <w:color w:val="auto"/>
          <w:sz w:val="24"/>
          <w:szCs w:val="24"/>
          <w:u w:val="none"/>
          <w:lang w:val="en-US"/>
        </w:rPr>
        <w:t xml:space="preserve"> r</w:t>
      </w:r>
      <w:r w:rsidRPr="00CA228C">
        <w:rPr>
          <w:rStyle w:val="Hyperlink"/>
          <w:rFonts w:cs="Times New Roman"/>
          <w:color w:val="auto"/>
          <w:sz w:val="24"/>
          <w:szCs w:val="24"/>
          <w:u w:val="none"/>
          <w:lang w:val="en-US"/>
        </w:rPr>
        <w:t xml:space="preserve">odent </w:t>
      </w:r>
      <w:r>
        <w:rPr>
          <w:rStyle w:val="Hyperlink"/>
          <w:rFonts w:cs="Times New Roman"/>
          <w:color w:val="auto"/>
          <w:sz w:val="24"/>
          <w:szCs w:val="24"/>
          <w:u w:val="none"/>
          <w:lang w:val="en-US"/>
        </w:rPr>
        <w:t>s</w:t>
      </w:r>
      <w:r w:rsidRPr="00CA228C">
        <w:rPr>
          <w:rStyle w:val="Hyperlink"/>
          <w:rFonts w:cs="Times New Roman"/>
          <w:color w:val="auto"/>
          <w:sz w:val="24"/>
          <w:szCs w:val="24"/>
          <w:u w:val="none"/>
          <w:lang w:val="en-US"/>
        </w:rPr>
        <w:t>pecies in Hawaii</w:t>
      </w:r>
      <w:r>
        <w:rPr>
          <w:rStyle w:val="Hyperlink"/>
          <w:rFonts w:cs="Times New Roman"/>
          <w:color w:val="auto"/>
          <w:sz w:val="24"/>
          <w:szCs w:val="24"/>
          <w:u w:val="none"/>
          <w:lang w:val="en-US"/>
        </w:rPr>
        <w:t xml:space="preserve">. </w:t>
      </w:r>
      <w:r w:rsidR="00D239DD" w:rsidRPr="00D239DD">
        <w:rPr>
          <w:rStyle w:val="Hyperlink"/>
          <w:rFonts w:cs="Times New Roman"/>
          <w:i/>
          <w:color w:val="auto"/>
          <w:sz w:val="24"/>
          <w:szCs w:val="24"/>
          <w:u w:val="none"/>
          <w:lang w:val="en-US"/>
        </w:rPr>
        <w:t>Archives of Environmental Contamination and Toxicology</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 60:533</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542</w:t>
      </w:r>
      <w:r>
        <w:rPr>
          <w:rStyle w:val="Hyperlink"/>
          <w:rFonts w:cs="Times New Roman"/>
          <w:color w:val="auto"/>
          <w:sz w:val="24"/>
          <w:szCs w:val="24"/>
          <w:u w:val="none"/>
          <w:lang w:val="en-US"/>
        </w:rPr>
        <w:t>.</w:t>
      </w:r>
    </w:p>
    <w:p w:rsidR="00022AB9" w:rsidRDefault="00022AB9" w:rsidP="00CA228C">
      <w:pPr>
        <w:rPr>
          <w:rStyle w:val="Hyperlink"/>
          <w:rFonts w:cs="Times New Roman"/>
          <w:color w:val="auto"/>
          <w:sz w:val="24"/>
          <w:szCs w:val="24"/>
          <w:u w:val="none"/>
          <w:lang w:val="en-US"/>
        </w:rPr>
      </w:pPr>
      <w:proofErr w:type="gramStart"/>
      <w:r>
        <w:rPr>
          <w:rStyle w:val="Hyperlink"/>
          <w:rFonts w:cs="Times New Roman"/>
          <w:color w:val="auto"/>
          <w:sz w:val="24"/>
          <w:szCs w:val="24"/>
          <w:u w:val="none"/>
          <w:lang w:val="en-US"/>
        </w:rPr>
        <w:t>Pott, M, and D. Grout.</w:t>
      </w:r>
      <w:proofErr w:type="gramEnd"/>
      <w:r>
        <w:rPr>
          <w:rStyle w:val="Hyperlink"/>
          <w:rFonts w:cs="Times New Roman"/>
          <w:color w:val="auto"/>
          <w:sz w:val="24"/>
          <w:szCs w:val="24"/>
          <w:u w:val="none"/>
          <w:lang w:val="en-US"/>
        </w:rPr>
        <w:t xml:space="preserve"> 2012. Results of a pilot gull hazing trial on the Fara</w:t>
      </w:r>
      <w:r w:rsidR="006579F8">
        <w:rPr>
          <w:rStyle w:val="Hyperlink"/>
          <w:rFonts w:cs="Times New Roman"/>
          <w:color w:val="auto"/>
          <w:sz w:val="24"/>
          <w:szCs w:val="24"/>
          <w:u w:val="none"/>
          <w:lang w:val="en-US"/>
        </w:rPr>
        <w:t xml:space="preserve">llon National Wildlife Refuge. </w:t>
      </w:r>
      <w:proofErr w:type="gramStart"/>
      <w:r>
        <w:rPr>
          <w:rStyle w:val="Hyperlink"/>
          <w:rFonts w:cs="Times New Roman"/>
          <w:color w:val="auto"/>
          <w:sz w:val="24"/>
          <w:szCs w:val="24"/>
          <w:u w:val="none"/>
          <w:lang w:val="en-US"/>
        </w:rPr>
        <w:t>Unpublished report for the U.S. Fish and Wildlife Service.</w:t>
      </w:r>
      <w:proofErr w:type="gramEnd"/>
    </w:p>
    <w:p w:rsidR="001114BE" w:rsidRPr="001A0381" w:rsidRDefault="00D24F61" w:rsidP="0062089F">
      <w:pPr>
        <w:rPr>
          <w:rFonts w:cs="Times New Roman"/>
          <w:sz w:val="24"/>
          <w:szCs w:val="24"/>
        </w:rPr>
      </w:pPr>
      <w:proofErr w:type="gramStart"/>
      <w:r w:rsidRPr="00D24F61">
        <w:rPr>
          <w:rStyle w:val="Hyperlink"/>
          <w:rFonts w:cs="Times New Roman"/>
          <w:color w:val="auto"/>
          <w:sz w:val="24"/>
          <w:szCs w:val="24"/>
          <w:u w:val="none"/>
          <w:lang w:val="en-US"/>
        </w:rPr>
        <w:t>Rattner, B.A., K.E. Horak, S.E. Warner, D.D. Day, and J.J. Johnston.</w:t>
      </w:r>
      <w:proofErr w:type="gramEnd"/>
      <w:r w:rsidRPr="00D24F61">
        <w:rPr>
          <w:rStyle w:val="Hyperlink"/>
          <w:rFonts w:cs="Times New Roman"/>
          <w:color w:val="auto"/>
          <w:sz w:val="24"/>
          <w:szCs w:val="24"/>
          <w:u w:val="none"/>
          <w:lang w:val="en-US"/>
        </w:rPr>
        <w:t xml:space="preserve"> 2010. Comparative toxicity of diphacinone to northern bobwhite (</w:t>
      </w:r>
      <w:r w:rsidRPr="00D24F61">
        <w:rPr>
          <w:rStyle w:val="Hyperlink"/>
          <w:rFonts w:cs="Times New Roman"/>
          <w:i/>
          <w:color w:val="auto"/>
          <w:sz w:val="24"/>
          <w:szCs w:val="24"/>
          <w:u w:val="none"/>
          <w:lang w:val="en-US"/>
        </w:rPr>
        <w:t>Colinus virginianus</w:t>
      </w:r>
      <w:r w:rsidRPr="00D24F61">
        <w:rPr>
          <w:rStyle w:val="Hyperlink"/>
          <w:rFonts w:cs="Times New Roman"/>
          <w:color w:val="auto"/>
          <w:sz w:val="24"/>
          <w:szCs w:val="24"/>
          <w:u w:val="none"/>
          <w:lang w:val="en-US"/>
        </w:rPr>
        <w:t>) and American kestrels (</w:t>
      </w:r>
      <w:r w:rsidRPr="00D24F61">
        <w:rPr>
          <w:rStyle w:val="Hyperlink"/>
          <w:rFonts w:cs="Times New Roman"/>
          <w:i/>
          <w:color w:val="auto"/>
          <w:sz w:val="24"/>
          <w:szCs w:val="24"/>
          <w:u w:val="none"/>
          <w:lang w:val="en-US"/>
        </w:rPr>
        <w:t>Falco sparverius</w:t>
      </w:r>
      <w:r w:rsidRPr="00D24F61">
        <w:rPr>
          <w:rStyle w:val="Hyperlink"/>
          <w:rFonts w:cs="Times New Roman"/>
          <w:color w:val="auto"/>
          <w:sz w:val="24"/>
          <w:szCs w:val="24"/>
          <w:u w:val="none"/>
          <w:lang w:val="en-US"/>
        </w:rPr>
        <w:t xml:space="preserve">). </w:t>
      </w:r>
      <w:r w:rsidRPr="00D24F61">
        <w:rPr>
          <w:rStyle w:val="Hyperlink"/>
          <w:rFonts w:cs="Times New Roman"/>
          <w:i/>
          <w:color w:val="auto"/>
          <w:sz w:val="24"/>
          <w:szCs w:val="24"/>
          <w:u w:val="none"/>
          <w:lang w:val="en-US"/>
        </w:rPr>
        <w:t>Proceedings of the 24</w:t>
      </w:r>
      <w:r w:rsidRPr="00D24F61">
        <w:rPr>
          <w:rStyle w:val="Hyperlink"/>
          <w:rFonts w:cs="Times New Roman"/>
          <w:i/>
          <w:color w:val="auto"/>
          <w:sz w:val="24"/>
          <w:szCs w:val="24"/>
          <w:u w:val="none"/>
          <w:vertAlign w:val="superscript"/>
          <w:lang w:val="en-US"/>
        </w:rPr>
        <w:t>th</w:t>
      </w:r>
      <w:r w:rsidRPr="00D24F61">
        <w:rPr>
          <w:rStyle w:val="Hyperlink"/>
          <w:rFonts w:cs="Times New Roman"/>
          <w:i/>
          <w:color w:val="auto"/>
          <w:sz w:val="24"/>
          <w:szCs w:val="24"/>
          <w:u w:val="none"/>
          <w:lang w:val="en-US"/>
        </w:rPr>
        <w:t xml:space="preserve"> Vertebrate Pest Conference</w:t>
      </w:r>
      <w:r w:rsidR="001A0381">
        <w:rPr>
          <w:rStyle w:val="Hyperlink"/>
          <w:rFonts w:cs="Times New Roman"/>
          <w:color w:val="auto"/>
          <w:sz w:val="24"/>
          <w:szCs w:val="24"/>
          <w:u w:val="none"/>
          <w:lang w:val="en-US"/>
        </w:rPr>
        <w:t>,</w:t>
      </w:r>
      <w:r w:rsidRPr="00D24F61">
        <w:rPr>
          <w:rStyle w:val="Hyperlink"/>
          <w:rFonts w:cs="Times New Roman"/>
          <w:color w:val="auto"/>
          <w:sz w:val="24"/>
          <w:szCs w:val="24"/>
          <w:u w:val="none"/>
          <w:lang w:val="en-US"/>
        </w:rPr>
        <w:t xml:space="preserve"> </w:t>
      </w:r>
      <w:r w:rsidR="001A0381">
        <w:rPr>
          <w:rStyle w:val="Hyperlink"/>
          <w:rFonts w:cs="Times New Roman"/>
          <w:color w:val="auto"/>
          <w:sz w:val="24"/>
          <w:szCs w:val="24"/>
          <w:u w:val="none"/>
          <w:lang w:val="en-US"/>
        </w:rPr>
        <w:t>24</w:t>
      </w:r>
      <w:r w:rsidRPr="00D24F61">
        <w:rPr>
          <w:rStyle w:val="Hyperlink"/>
          <w:rFonts w:cs="Times New Roman"/>
          <w:color w:val="auto"/>
          <w:sz w:val="24"/>
          <w:szCs w:val="24"/>
          <w:u w:val="none"/>
          <w:lang w:val="en-US"/>
        </w:rPr>
        <w:t>:146-152.</w:t>
      </w:r>
    </w:p>
    <w:p w:rsidR="005D16D4" w:rsidRDefault="00D24F61" w:rsidP="005D16D4">
      <w:pPr>
        <w:rPr>
          <w:rFonts w:cs="Times New Roman"/>
          <w:sz w:val="24"/>
          <w:szCs w:val="24"/>
          <w:lang w:val="en-US"/>
        </w:rPr>
      </w:pPr>
      <w:r w:rsidRPr="00D24F61">
        <w:rPr>
          <w:rFonts w:cs="Times New Roman"/>
          <w:sz w:val="24"/>
          <w:szCs w:val="24"/>
          <w:lang w:val="en-US"/>
        </w:rPr>
        <w:t>Samaniego-Herrera, A., A. Aguirre-Muñoz, G. Howald, M. Felix-Lizarraga, J. Valdez-Villavicencio, R. Gonzalez-Gomez, F. Mendez-Sanchez, F. Torres-Garcia, M. Rodríguez-Malagón, and B. Tershy. 2009. Eradication of black rats from Farallon de San</w:t>
      </w:r>
      <w:r w:rsidR="005D16D4" w:rsidRPr="0099279C">
        <w:rPr>
          <w:rFonts w:cs="Times New Roman"/>
          <w:sz w:val="24"/>
          <w:szCs w:val="24"/>
          <w:lang w:val="en-US"/>
        </w:rPr>
        <w:t xml:space="preserve"> Ignacio and San Pedro Martir Islands, Gulf of California, Mexico. In: Proceedings of the 7th California Islands Symposium. Institute for Wildlife Studies, Arcata, CA. </w:t>
      </w:r>
      <w:r w:rsidR="00D424A2">
        <w:rPr>
          <w:rFonts w:cs="Times New Roman"/>
          <w:sz w:val="24"/>
          <w:szCs w:val="24"/>
          <w:lang w:val="en-US"/>
        </w:rPr>
        <w:t>P</w:t>
      </w:r>
      <w:r w:rsidR="00D424A2" w:rsidRPr="0099279C">
        <w:rPr>
          <w:rFonts w:cs="Times New Roman"/>
          <w:sz w:val="24"/>
          <w:szCs w:val="24"/>
          <w:lang w:val="en-US"/>
        </w:rPr>
        <w:t xml:space="preserve">ages </w:t>
      </w:r>
      <w:r w:rsidR="005D16D4" w:rsidRPr="0099279C">
        <w:rPr>
          <w:rFonts w:cs="Times New Roman"/>
          <w:sz w:val="24"/>
          <w:szCs w:val="24"/>
          <w:lang w:val="en-US"/>
        </w:rPr>
        <w:t>337-347.</w:t>
      </w:r>
    </w:p>
    <w:p w:rsidR="00F207F5" w:rsidRPr="0099279C" w:rsidRDefault="00F207F5" w:rsidP="00F207F5">
      <w:pPr>
        <w:rPr>
          <w:rFonts w:cs="Times New Roman"/>
          <w:sz w:val="24"/>
          <w:szCs w:val="24"/>
          <w:lang w:val="en-US"/>
        </w:rPr>
      </w:pPr>
      <w:proofErr w:type="gramStart"/>
      <w:r w:rsidRPr="00F207F5">
        <w:rPr>
          <w:rFonts w:cs="Times New Roman"/>
          <w:sz w:val="24"/>
          <w:szCs w:val="24"/>
          <w:lang w:val="en-US"/>
        </w:rPr>
        <w:t>S</w:t>
      </w:r>
      <w:r>
        <w:rPr>
          <w:rFonts w:cs="Times New Roman"/>
          <w:sz w:val="24"/>
          <w:szCs w:val="24"/>
          <w:lang w:val="en-US"/>
        </w:rPr>
        <w:t>late</w:t>
      </w:r>
      <w:r w:rsidRPr="00F207F5">
        <w:rPr>
          <w:rFonts w:cs="Times New Roman"/>
          <w:sz w:val="24"/>
          <w:szCs w:val="24"/>
          <w:lang w:val="en-US"/>
        </w:rPr>
        <w:t>, D., J. M</w:t>
      </w:r>
      <w:r>
        <w:rPr>
          <w:rFonts w:cs="Times New Roman"/>
          <w:sz w:val="24"/>
          <w:szCs w:val="24"/>
          <w:lang w:val="en-US"/>
        </w:rPr>
        <w:t>c</w:t>
      </w:r>
      <w:r w:rsidRPr="00F207F5">
        <w:rPr>
          <w:rFonts w:cs="Times New Roman"/>
          <w:sz w:val="24"/>
          <w:szCs w:val="24"/>
          <w:lang w:val="en-US"/>
        </w:rPr>
        <w:t>C</w:t>
      </w:r>
      <w:r>
        <w:rPr>
          <w:rFonts w:cs="Times New Roman"/>
          <w:sz w:val="24"/>
          <w:szCs w:val="24"/>
          <w:lang w:val="en-US"/>
        </w:rPr>
        <w:t>onnell</w:t>
      </w:r>
      <w:r w:rsidRPr="00F207F5">
        <w:rPr>
          <w:rFonts w:cs="Times New Roman"/>
          <w:sz w:val="24"/>
          <w:szCs w:val="24"/>
          <w:lang w:val="en-US"/>
        </w:rPr>
        <w:t>, M. B</w:t>
      </w:r>
      <w:r>
        <w:rPr>
          <w:rFonts w:cs="Times New Roman"/>
          <w:sz w:val="24"/>
          <w:szCs w:val="24"/>
          <w:lang w:val="en-US"/>
        </w:rPr>
        <w:t>arden</w:t>
      </w:r>
      <w:r w:rsidRPr="00F207F5">
        <w:rPr>
          <w:rFonts w:cs="Times New Roman"/>
          <w:sz w:val="24"/>
          <w:szCs w:val="24"/>
          <w:lang w:val="en-US"/>
        </w:rPr>
        <w:t>, R. C</w:t>
      </w:r>
      <w:r>
        <w:rPr>
          <w:rFonts w:cs="Times New Roman"/>
          <w:sz w:val="24"/>
          <w:szCs w:val="24"/>
          <w:lang w:val="en-US"/>
        </w:rPr>
        <w:t>hipman</w:t>
      </w:r>
      <w:r w:rsidRPr="00F207F5">
        <w:rPr>
          <w:rFonts w:cs="Times New Roman"/>
          <w:sz w:val="24"/>
          <w:szCs w:val="24"/>
          <w:lang w:val="en-US"/>
        </w:rPr>
        <w:t>, J.</w:t>
      </w:r>
      <w:r>
        <w:rPr>
          <w:rFonts w:cs="Times New Roman"/>
          <w:sz w:val="24"/>
          <w:szCs w:val="24"/>
          <w:lang w:val="en-US"/>
        </w:rPr>
        <w:t xml:space="preserve"> </w:t>
      </w:r>
      <w:r w:rsidRPr="00F207F5">
        <w:rPr>
          <w:rFonts w:cs="Times New Roman"/>
          <w:sz w:val="24"/>
          <w:szCs w:val="24"/>
          <w:lang w:val="en-US"/>
        </w:rPr>
        <w:t>J</w:t>
      </w:r>
      <w:r>
        <w:rPr>
          <w:rFonts w:cs="Times New Roman"/>
          <w:sz w:val="24"/>
          <w:szCs w:val="24"/>
          <w:lang w:val="en-US"/>
        </w:rPr>
        <w:t>anicke</w:t>
      </w:r>
      <w:r w:rsidRPr="00F207F5">
        <w:rPr>
          <w:rFonts w:cs="Times New Roman"/>
          <w:sz w:val="24"/>
          <w:szCs w:val="24"/>
          <w:lang w:val="en-US"/>
        </w:rPr>
        <w:t xml:space="preserve"> </w:t>
      </w:r>
      <w:r>
        <w:rPr>
          <w:rFonts w:cs="Times New Roman"/>
          <w:sz w:val="24"/>
          <w:szCs w:val="24"/>
          <w:lang w:val="en-US"/>
        </w:rPr>
        <w:t>and</w:t>
      </w:r>
      <w:r w:rsidRPr="00F207F5">
        <w:rPr>
          <w:rFonts w:cs="Times New Roman"/>
          <w:sz w:val="24"/>
          <w:szCs w:val="24"/>
          <w:lang w:val="en-US"/>
        </w:rPr>
        <w:t xml:space="preserve"> C. B</w:t>
      </w:r>
      <w:r>
        <w:rPr>
          <w:rFonts w:cs="Times New Roman"/>
          <w:sz w:val="24"/>
          <w:szCs w:val="24"/>
          <w:lang w:val="en-US"/>
        </w:rPr>
        <w:t>enuy</w:t>
      </w:r>
      <w:r w:rsidRPr="00F207F5">
        <w:rPr>
          <w:rFonts w:cs="Times New Roman"/>
          <w:sz w:val="24"/>
          <w:szCs w:val="24"/>
          <w:lang w:val="en-US"/>
        </w:rPr>
        <w:t>.</w:t>
      </w:r>
      <w:proofErr w:type="gramEnd"/>
      <w:r w:rsidRPr="00F207F5">
        <w:rPr>
          <w:rFonts w:cs="Times New Roman"/>
          <w:sz w:val="24"/>
          <w:szCs w:val="24"/>
          <w:lang w:val="en-US"/>
        </w:rPr>
        <w:t xml:space="preserve"> 2000. Controlling gulls at</w:t>
      </w:r>
      <w:r>
        <w:rPr>
          <w:rFonts w:cs="Times New Roman"/>
          <w:sz w:val="24"/>
          <w:szCs w:val="24"/>
          <w:lang w:val="en-US"/>
        </w:rPr>
        <w:t xml:space="preserve"> </w:t>
      </w:r>
      <w:r w:rsidRPr="00F207F5">
        <w:rPr>
          <w:rFonts w:cs="Times New Roman"/>
          <w:sz w:val="24"/>
          <w:szCs w:val="24"/>
          <w:lang w:val="en-US"/>
        </w:rPr>
        <w:t xml:space="preserve">landfills. </w:t>
      </w:r>
      <w:r w:rsidR="00D24F61" w:rsidRPr="00D24F61">
        <w:rPr>
          <w:rFonts w:cs="Times New Roman"/>
          <w:i/>
          <w:sz w:val="24"/>
          <w:szCs w:val="24"/>
          <w:lang w:val="en-US"/>
        </w:rPr>
        <w:t>Proceedings of the 19</w:t>
      </w:r>
      <w:r w:rsidR="00D24F61" w:rsidRPr="00D24F61">
        <w:rPr>
          <w:rFonts w:cs="Times New Roman"/>
          <w:i/>
          <w:sz w:val="24"/>
          <w:szCs w:val="24"/>
          <w:vertAlign w:val="superscript"/>
          <w:lang w:val="en-US"/>
        </w:rPr>
        <w:t>th</w:t>
      </w:r>
      <w:r w:rsidR="00D24F61" w:rsidRPr="00D24F61">
        <w:rPr>
          <w:rFonts w:cs="Times New Roman"/>
          <w:i/>
          <w:sz w:val="24"/>
          <w:szCs w:val="24"/>
          <w:lang w:val="en-US"/>
        </w:rPr>
        <w:t xml:space="preserve"> Vertebrate Pest Conference</w:t>
      </w:r>
      <w:r w:rsidR="00A13F24">
        <w:rPr>
          <w:rFonts w:cs="Times New Roman"/>
          <w:sz w:val="24"/>
          <w:szCs w:val="24"/>
          <w:lang w:val="en-US"/>
        </w:rPr>
        <w:t>,</w:t>
      </w:r>
      <w:r w:rsidRPr="00F207F5">
        <w:rPr>
          <w:rFonts w:cs="Times New Roman"/>
          <w:sz w:val="24"/>
          <w:szCs w:val="24"/>
          <w:lang w:val="en-US"/>
        </w:rPr>
        <w:t xml:space="preserve"> 19:68-76.</w:t>
      </w:r>
    </w:p>
    <w:p w:rsidR="009B6A64" w:rsidRPr="0099279C" w:rsidRDefault="009B6A64" w:rsidP="0062089F">
      <w:pPr>
        <w:rPr>
          <w:rFonts w:cs="Times New Roman"/>
          <w:sz w:val="24"/>
          <w:szCs w:val="24"/>
          <w:lang w:val="en-US"/>
        </w:rPr>
      </w:pPr>
      <w:proofErr w:type="gramStart"/>
      <w:r w:rsidRPr="0099279C">
        <w:rPr>
          <w:rFonts w:cs="Times New Roman"/>
          <w:sz w:val="24"/>
          <w:szCs w:val="24"/>
          <w:lang w:val="en-US"/>
        </w:rPr>
        <w:t>Snellen, C.L., P.J. Hodum and E. Fernandez-Juricic.</w:t>
      </w:r>
      <w:proofErr w:type="gramEnd"/>
      <w:r w:rsidRPr="0099279C">
        <w:rPr>
          <w:rFonts w:cs="Times New Roman"/>
          <w:sz w:val="24"/>
          <w:szCs w:val="24"/>
          <w:lang w:val="en-US"/>
        </w:rPr>
        <w:t xml:space="preserve"> 2007. Assessing western gull predation on purple sea urchins in the rocky intertidal using optimal foraging theory. </w:t>
      </w:r>
      <w:r w:rsidRPr="00BD2BE7">
        <w:rPr>
          <w:rFonts w:cs="Times New Roman"/>
          <w:i/>
          <w:sz w:val="24"/>
          <w:szCs w:val="24"/>
          <w:lang w:val="en-US"/>
        </w:rPr>
        <w:t>Canadian Journal of</w:t>
      </w:r>
      <w:r w:rsidRPr="0099279C">
        <w:rPr>
          <w:rFonts w:cs="Times New Roman"/>
          <w:sz w:val="24"/>
          <w:szCs w:val="24"/>
          <w:lang w:val="en-US"/>
        </w:rPr>
        <w:t xml:space="preserve"> </w:t>
      </w:r>
      <w:r w:rsidRPr="00BD2BE7">
        <w:rPr>
          <w:rFonts w:cs="Times New Roman"/>
          <w:i/>
          <w:sz w:val="24"/>
          <w:szCs w:val="24"/>
          <w:lang w:val="en-US"/>
        </w:rPr>
        <w:t>Zoology</w:t>
      </w:r>
      <w:r w:rsidR="00BD2BE7">
        <w:rPr>
          <w:rFonts w:cs="Times New Roman"/>
          <w:sz w:val="24"/>
          <w:szCs w:val="24"/>
          <w:lang w:val="en-US"/>
        </w:rPr>
        <w:t>,</w:t>
      </w:r>
      <w:r w:rsidRPr="0099279C">
        <w:rPr>
          <w:rFonts w:cs="Times New Roman"/>
          <w:sz w:val="24"/>
          <w:szCs w:val="24"/>
          <w:lang w:val="en-US"/>
        </w:rPr>
        <w:t xml:space="preserve"> 85:221-231.</w:t>
      </w:r>
    </w:p>
    <w:p w:rsidR="007B252B" w:rsidRPr="0099279C" w:rsidRDefault="007B252B" w:rsidP="0062089F">
      <w:pPr>
        <w:rPr>
          <w:rFonts w:cs="Times New Roman"/>
          <w:sz w:val="24"/>
          <w:szCs w:val="24"/>
          <w:lang w:val="en-US"/>
        </w:rPr>
      </w:pPr>
      <w:proofErr w:type="gramStart"/>
      <w:r w:rsidRPr="0099279C">
        <w:rPr>
          <w:rFonts w:cs="Times New Roman"/>
          <w:sz w:val="24"/>
          <w:szCs w:val="24"/>
          <w:lang w:val="en-US"/>
        </w:rPr>
        <w:t>Sowls, A.L., A.R. Degange, J.W. Nelson and G.S. Lester.</w:t>
      </w:r>
      <w:proofErr w:type="gramEnd"/>
      <w:r w:rsidRPr="0099279C">
        <w:rPr>
          <w:rFonts w:cs="Times New Roman"/>
          <w:sz w:val="24"/>
          <w:szCs w:val="24"/>
          <w:lang w:val="en-US"/>
        </w:rPr>
        <w:t xml:space="preserve"> 1980. Catalog of California seabird colonies. </w:t>
      </w:r>
      <w:proofErr w:type="gramStart"/>
      <w:r w:rsidRPr="0099279C">
        <w:rPr>
          <w:rFonts w:cs="Times New Roman"/>
          <w:sz w:val="24"/>
          <w:szCs w:val="24"/>
          <w:lang w:val="en-US"/>
        </w:rPr>
        <w:t>U</w:t>
      </w:r>
      <w:r w:rsidR="00A01955" w:rsidRPr="0099279C">
        <w:rPr>
          <w:rFonts w:cs="Times New Roman"/>
          <w:sz w:val="24"/>
          <w:szCs w:val="24"/>
          <w:lang w:val="en-US"/>
        </w:rPr>
        <w:t>nited States</w:t>
      </w:r>
      <w:r w:rsidRPr="0099279C">
        <w:rPr>
          <w:rFonts w:cs="Times New Roman"/>
          <w:sz w:val="24"/>
          <w:szCs w:val="24"/>
          <w:lang w:val="en-US"/>
        </w:rPr>
        <w:t xml:space="preserve"> Fish and Wildlife Service, Slidell, LA.</w:t>
      </w:r>
      <w:proofErr w:type="gramEnd"/>
      <w:r w:rsidRPr="0099279C">
        <w:rPr>
          <w:rFonts w:cs="Times New Roman"/>
          <w:sz w:val="24"/>
          <w:szCs w:val="24"/>
          <w:lang w:val="en-US"/>
        </w:rPr>
        <w:t xml:space="preserve"> </w:t>
      </w:r>
      <w:proofErr w:type="gramStart"/>
      <w:r w:rsidRPr="0099279C">
        <w:rPr>
          <w:rFonts w:cs="Times New Roman"/>
          <w:sz w:val="24"/>
          <w:szCs w:val="24"/>
          <w:lang w:val="en-US"/>
        </w:rPr>
        <w:t>FWS/OBS 80/37.</w:t>
      </w:r>
      <w:proofErr w:type="gramEnd"/>
    </w:p>
    <w:p w:rsidR="00956F61" w:rsidRPr="0099279C" w:rsidRDefault="00956F61" w:rsidP="0062089F">
      <w:pPr>
        <w:rPr>
          <w:rFonts w:cs="Times New Roman"/>
          <w:sz w:val="24"/>
          <w:szCs w:val="24"/>
          <w:lang w:val="en-US"/>
        </w:rPr>
      </w:pPr>
      <w:proofErr w:type="gramStart"/>
      <w:r w:rsidRPr="0099279C">
        <w:rPr>
          <w:rFonts w:cs="Times New Roman"/>
          <w:sz w:val="24"/>
          <w:szCs w:val="24"/>
          <w:lang w:val="en-US"/>
        </w:rPr>
        <w:t>Spear, L.B. 1988.</w:t>
      </w:r>
      <w:proofErr w:type="gramEnd"/>
      <w:r w:rsidRPr="0099279C">
        <w:rPr>
          <w:rFonts w:cs="Times New Roman"/>
          <w:sz w:val="24"/>
          <w:szCs w:val="24"/>
          <w:lang w:val="en-US"/>
        </w:rPr>
        <w:t xml:space="preserve"> Dispersal patterns of western gulls from Southeast Farallon Island.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105:128-141.</w:t>
      </w:r>
    </w:p>
    <w:p w:rsidR="00076BEE" w:rsidRPr="0099279C" w:rsidRDefault="00076BEE" w:rsidP="0062089F">
      <w:pPr>
        <w:rPr>
          <w:rFonts w:cs="Times New Roman"/>
          <w:sz w:val="24"/>
          <w:szCs w:val="24"/>
          <w:lang w:val="en-US"/>
        </w:rPr>
      </w:pPr>
      <w:proofErr w:type="gramStart"/>
      <w:r w:rsidRPr="0099279C">
        <w:rPr>
          <w:rFonts w:cs="Times New Roman"/>
          <w:sz w:val="24"/>
          <w:szCs w:val="24"/>
          <w:lang w:val="en-US"/>
        </w:rPr>
        <w:t>Stone, W.B., J.C. Okoniewski and J.R. Stedelin.</w:t>
      </w:r>
      <w:proofErr w:type="gramEnd"/>
      <w:r w:rsidRPr="0099279C">
        <w:rPr>
          <w:rFonts w:cs="Times New Roman"/>
          <w:sz w:val="24"/>
          <w:szCs w:val="24"/>
          <w:lang w:val="en-US"/>
        </w:rPr>
        <w:t xml:space="preserve"> 1999. Poisoning of wildlife with anticoagulant rodenticides in New York. </w:t>
      </w:r>
      <w:r w:rsidRPr="00BD2BE7">
        <w:rPr>
          <w:rFonts w:cs="Times New Roman"/>
          <w:i/>
          <w:sz w:val="24"/>
          <w:szCs w:val="24"/>
          <w:lang w:val="en-US"/>
        </w:rPr>
        <w:t>Journal of Wildlife Diseases</w:t>
      </w:r>
      <w:r w:rsidR="00BD2BE7">
        <w:rPr>
          <w:rFonts w:cs="Times New Roman"/>
          <w:sz w:val="24"/>
          <w:szCs w:val="24"/>
          <w:lang w:val="en-US"/>
        </w:rPr>
        <w:t>,</w:t>
      </w:r>
      <w:r w:rsidRPr="0099279C">
        <w:rPr>
          <w:rFonts w:cs="Times New Roman"/>
          <w:sz w:val="24"/>
          <w:szCs w:val="24"/>
          <w:lang w:val="en-US"/>
        </w:rPr>
        <w:t xml:space="preserve"> 35:187-193.</w:t>
      </w:r>
    </w:p>
    <w:p w:rsidR="0014391A" w:rsidRPr="0099279C" w:rsidRDefault="0014391A" w:rsidP="0062089F">
      <w:pPr>
        <w:rPr>
          <w:rFonts w:cs="Times New Roman"/>
          <w:sz w:val="24"/>
          <w:szCs w:val="24"/>
          <w:lang w:val="en-US"/>
        </w:rPr>
      </w:pPr>
      <w:proofErr w:type="gramStart"/>
      <w:r w:rsidRPr="0099279C">
        <w:rPr>
          <w:rFonts w:cs="Times New Roman"/>
          <w:sz w:val="24"/>
          <w:szCs w:val="24"/>
          <w:lang w:val="en-US"/>
        </w:rPr>
        <w:t>Suter, G.W., L.W. Barnthouse, S.M. Bartell, T. Mill, D. Mackay and S. Patterson.</w:t>
      </w:r>
      <w:proofErr w:type="gramEnd"/>
      <w:r w:rsidRPr="0099279C">
        <w:rPr>
          <w:rFonts w:cs="Times New Roman"/>
          <w:sz w:val="24"/>
          <w:szCs w:val="24"/>
          <w:lang w:val="en-US"/>
        </w:rPr>
        <w:t xml:space="preserve"> </w:t>
      </w:r>
      <w:proofErr w:type="gramStart"/>
      <w:r w:rsidRPr="0099279C">
        <w:rPr>
          <w:rFonts w:cs="Times New Roman"/>
          <w:sz w:val="24"/>
          <w:szCs w:val="24"/>
          <w:lang w:val="en-US"/>
        </w:rPr>
        <w:t>Ecological Risk Assessment.</w:t>
      </w:r>
      <w:proofErr w:type="gramEnd"/>
      <w:r w:rsidRPr="0099279C">
        <w:rPr>
          <w:rFonts w:cs="Times New Roman"/>
          <w:sz w:val="24"/>
          <w:szCs w:val="24"/>
          <w:lang w:val="en-US"/>
        </w:rPr>
        <w:t xml:space="preserve"> </w:t>
      </w:r>
      <w:proofErr w:type="gramStart"/>
      <w:r w:rsidRPr="0099279C">
        <w:rPr>
          <w:rFonts w:cs="Times New Roman"/>
          <w:sz w:val="24"/>
          <w:szCs w:val="24"/>
          <w:lang w:val="en-US"/>
        </w:rPr>
        <w:t>Lewis Publishers, Chelsea, MI.</w:t>
      </w:r>
      <w:proofErr w:type="gramEnd"/>
    </w:p>
    <w:p w:rsidR="008C76F8" w:rsidRPr="0099279C" w:rsidRDefault="008C76F8" w:rsidP="0062089F">
      <w:pPr>
        <w:rPr>
          <w:rFonts w:cs="Times New Roman"/>
          <w:sz w:val="24"/>
          <w:szCs w:val="24"/>
          <w:lang w:val="en-US"/>
        </w:rPr>
      </w:pPr>
      <w:r w:rsidRPr="0099279C">
        <w:rPr>
          <w:rFonts w:cs="Times New Roman"/>
          <w:sz w:val="24"/>
          <w:szCs w:val="24"/>
          <w:lang w:val="en-US"/>
        </w:rPr>
        <w:t xml:space="preserve">Taylor, R.H. 1993. </w:t>
      </w:r>
      <w:proofErr w:type="gramStart"/>
      <w:r w:rsidRPr="0099279C">
        <w:rPr>
          <w:rFonts w:cs="Times New Roman"/>
          <w:sz w:val="24"/>
          <w:szCs w:val="24"/>
          <w:lang w:val="en-US"/>
        </w:rPr>
        <w:t>The feasibility of rat eradication on Langara Island, British Columbia, Canada.</w:t>
      </w:r>
      <w:proofErr w:type="gramEnd"/>
      <w:r w:rsidRPr="0099279C">
        <w:rPr>
          <w:rFonts w:cs="Times New Roman"/>
          <w:sz w:val="24"/>
          <w:szCs w:val="24"/>
          <w:lang w:val="en-US"/>
        </w:rPr>
        <w:t xml:space="preserve"> Report to the Canadian Wildlife Service, Ottawa, ON. </w:t>
      </w:r>
      <w:proofErr w:type="gramStart"/>
      <w:r w:rsidRPr="0099279C">
        <w:rPr>
          <w:rFonts w:cs="Times New Roman"/>
          <w:sz w:val="24"/>
          <w:szCs w:val="24"/>
          <w:lang w:val="en-US"/>
        </w:rPr>
        <w:t>30 pp.</w:t>
      </w:r>
      <w:proofErr w:type="gramEnd"/>
    </w:p>
    <w:p w:rsidR="0087349E" w:rsidRPr="0099279C" w:rsidRDefault="0087349E" w:rsidP="0087349E">
      <w:pPr>
        <w:rPr>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1989. Eradication of Norway rats (</w:t>
      </w:r>
      <w:r w:rsidRPr="0099279C">
        <w:rPr>
          <w:rFonts w:cs="Times New Roman"/>
          <w:i/>
          <w:sz w:val="24"/>
          <w:szCs w:val="24"/>
          <w:lang w:val="en-US"/>
        </w:rPr>
        <w:t>Rattus norvegicus</w:t>
      </w:r>
      <w:r w:rsidRPr="0099279C">
        <w:rPr>
          <w:rFonts w:cs="Times New Roman"/>
          <w:sz w:val="24"/>
          <w:szCs w:val="24"/>
          <w:lang w:val="en-US"/>
        </w:rPr>
        <w:t xml:space="preserve">) from Hawea Island, Fiordland, using brodifacoum.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12:23-32.</w:t>
      </w:r>
    </w:p>
    <w:p w:rsidR="00672681" w:rsidRDefault="0087349E" w:rsidP="0087349E">
      <w:pPr>
        <w:rPr>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1993. Rats eradicated from rugged Breaksea Island (170 ha), Fiordland, New Zealand. </w:t>
      </w:r>
      <w:r w:rsidRPr="00BD2BE7">
        <w:rPr>
          <w:rFonts w:cs="Times New Roman"/>
          <w:i/>
          <w:sz w:val="24"/>
          <w:szCs w:val="24"/>
          <w:lang w:val="en-US"/>
        </w:rPr>
        <w:t>Biological Conservation</w:t>
      </w:r>
      <w:r w:rsidR="00BD2BE7">
        <w:rPr>
          <w:rFonts w:cs="Times New Roman"/>
          <w:sz w:val="24"/>
          <w:szCs w:val="24"/>
          <w:lang w:val="en-US"/>
        </w:rPr>
        <w:t>,</w:t>
      </w:r>
      <w:r w:rsidRPr="0099279C">
        <w:rPr>
          <w:rFonts w:cs="Times New Roman"/>
          <w:sz w:val="24"/>
          <w:szCs w:val="24"/>
          <w:lang w:val="en-US"/>
        </w:rPr>
        <w:t xml:space="preserve"> 65:191-198.</w:t>
      </w:r>
    </w:p>
    <w:p w:rsidR="005624F3" w:rsidRPr="0099279C" w:rsidRDefault="005624F3" w:rsidP="005624F3">
      <w:pPr>
        <w:rPr>
          <w:rFonts w:cs="Times New Roman"/>
          <w:sz w:val="24"/>
          <w:szCs w:val="24"/>
          <w:lang w:val="en-US"/>
        </w:rPr>
      </w:pPr>
      <w:proofErr w:type="gramStart"/>
      <w:r w:rsidRPr="005624F3">
        <w:rPr>
          <w:rFonts w:cs="Times New Roman"/>
          <w:sz w:val="24"/>
          <w:szCs w:val="24"/>
          <w:lang w:val="en-US"/>
        </w:rPr>
        <w:t>Wanless, R</w:t>
      </w:r>
      <w:r>
        <w:rPr>
          <w:rFonts w:cs="Times New Roman"/>
          <w:sz w:val="24"/>
          <w:szCs w:val="24"/>
          <w:lang w:val="en-US"/>
        </w:rPr>
        <w:t>.</w:t>
      </w:r>
      <w:r w:rsidRPr="005624F3">
        <w:rPr>
          <w:rFonts w:cs="Times New Roman"/>
          <w:sz w:val="24"/>
          <w:szCs w:val="24"/>
          <w:lang w:val="en-US"/>
        </w:rPr>
        <w:t>M.</w:t>
      </w:r>
      <w:r>
        <w:rPr>
          <w:rFonts w:cs="Times New Roman"/>
          <w:sz w:val="24"/>
          <w:szCs w:val="24"/>
          <w:lang w:val="en-US"/>
        </w:rPr>
        <w:t>,</w:t>
      </w:r>
      <w:r w:rsidRPr="005624F3">
        <w:rPr>
          <w:rFonts w:cs="Times New Roman"/>
          <w:sz w:val="24"/>
          <w:szCs w:val="24"/>
          <w:lang w:val="en-US"/>
        </w:rPr>
        <w:t xml:space="preserve"> P</w:t>
      </w:r>
      <w:r>
        <w:rPr>
          <w:rFonts w:cs="Times New Roman"/>
          <w:sz w:val="24"/>
          <w:szCs w:val="24"/>
          <w:lang w:val="en-US"/>
        </w:rPr>
        <w:t>.</w:t>
      </w:r>
      <w:r w:rsidRPr="005624F3">
        <w:rPr>
          <w:rFonts w:cs="Times New Roman"/>
          <w:sz w:val="24"/>
          <w:szCs w:val="24"/>
          <w:lang w:val="en-US"/>
        </w:rPr>
        <w:t xml:space="preserve"> Fisher, J</w:t>
      </w:r>
      <w:r>
        <w:rPr>
          <w:rFonts w:cs="Times New Roman"/>
          <w:sz w:val="24"/>
          <w:szCs w:val="24"/>
          <w:lang w:val="en-US"/>
        </w:rPr>
        <w:t>.</w:t>
      </w:r>
      <w:r w:rsidRPr="005624F3">
        <w:rPr>
          <w:rFonts w:cs="Times New Roman"/>
          <w:sz w:val="24"/>
          <w:szCs w:val="24"/>
          <w:lang w:val="en-US"/>
        </w:rPr>
        <w:t xml:space="preserve"> Cooper, J</w:t>
      </w:r>
      <w:r>
        <w:rPr>
          <w:rFonts w:cs="Times New Roman"/>
          <w:sz w:val="24"/>
          <w:szCs w:val="24"/>
          <w:lang w:val="en-US"/>
        </w:rPr>
        <w:t>.</w:t>
      </w:r>
      <w:r w:rsidRPr="005624F3">
        <w:rPr>
          <w:rFonts w:cs="Times New Roman"/>
          <w:sz w:val="24"/>
          <w:szCs w:val="24"/>
          <w:lang w:val="en-US"/>
        </w:rPr>
        <w:t xml:space="preserve"> Parkes, P</w:t>
      </w:r>
      <w:r>
        <w:rPr>
          <w:rFonts w:cs="Times New Roman"/>
          <w:sz w:val="24"/>
          <w:szCs w:val="24"/>
          <w:lang w:val="en-US"/>
        </w:rPr>
        <w:t>.</w:t>
      </w:r>
      <w:r w:rsidRPr="005624F3">
        <w:rPr>
          <w:rFonts w:cs="Times New Roman"/>
          <w:sz w:val="24"/>
          <w:szCs w:val="24"/>
          <w:lang w:val="en-US"/>
        </w:rPr>
        <w:t>G. Ryan</w:t>
      </w:r>
      <w:r>
        <w:rPr>
          <w:rFonts w:cs="Times New Roman"/>
          <w:sz w:val="24"/>
          <w:szCs w:val="24"/>
          <w:lang w:val="en-US"/>
        </w:rPr>
        <w:t xml:space="preserve"> </w:t>
      </w:r>
      <w:r w:rsidRPr="005624F3">
        <w:rPr>
          <w:rFonts w:cs="Times New Roman"/>
          <w:sz w:val="24"/>
          <w:szCs w:val="24"/>
          <w:lang w:val="en-US"/>
        </w:rPr>
        <w:t>and M</w:t>
      </w:r>
      <w:r>
        <w:rPr>
          <w:rFonts w:cs="Times New Roman"/>
          <w:sz w:val="24"/>
          <w:szCs w:val="24"/>
          <w:lang w:val="en-US"/>
        </w:rPr>
        <w:t>.</w:t>
      </w:r>
      <w:r w:rsidRPr="005624F3">
        <w:rPr>
          <w:rFonts w:cs="Times New Roman"/>
          <w:sz w:val="24"/>
          <w:szCs w:val="24"/>
          <w:lang w:val="en-US"/>
        </w:rPr>
        <w:t xml:space="preserve"> Slabber</w:t>
      </w:r>
      <w:r>
        <w:rPr>
          <w:rFonts w:cs="Times New Roman"/>
          <w:sz w:val="24"/>
          <w:szCs w:val="24"/>
          <w:lang w:val="en-US"/>
        </w:rPr>
        <w:t>.</w:t>
      </w:r>
      <w:proofErr w:type="gramEnd"/>
      <w:r>
        <w:rPr>
          <w:rFonts w:cs="Times New Roman"/>
          <w:sz w:val="24"/>
          <w:szCs w:val="24"/>
          <w:lang w:val="en-US"/>
        </w:rPr>
        <w:t xml:space="preserve"> 2008. </w:t>
      </w:r>
      <w:r w:rsidRPr="005624F3">
        <w:rPr>
          <w:rFonts w:cs="Times New Roman"/>
          <w:sz w:val="24"/>
          <w:szCs w:val="24"/>
          <w:lang w:val="en-US"/>
        </w:rPr>
        <w:t xml:space="preserve">Bait acceptance by house mice: </w:t>
      </w:r>
      <w:r>
        <w:rPr>
          <w:rFonts w:cs="Times New Roman"/>
          <w:sz w:val="24"/>
          <w:szCs w:val="24"/>
          <w:lang w:val="en-US"/>
        </w:rPr>
        <w:t>A</w:t>
      </w:r>
      <w:r w:rsidRPr="005624F3">
        <w:rPr>
          <w:rFonts w:cs="Times New Roman"/>
          <w:sz w:val="24"/>
          <w:szCs w:val="24"/>
          <w:lang w:val="en-US"/>
        </w:rPr>
        <w:t>n island field trial</w:t>
      </w:r>
      <w:r>
        <w:rPr>
          <w:rFonts w:cs="Times New Roman"/>
          <w:sz w:val="24"/>
          <w:szCs w:val="24"/>
          <w:lang w:val="en-US"/>
        </w:rPr>
        <w:t xml:space="preserve">. </w:t>
      </w:r>
      <w:r w:rsidRPr="005624F3">
        <w:rPr>
          <w:rFonts w:cs="Times New Roman"/>
          <w:i/>
          <w:sz w:val="24"/>
          <w:szCs w:val="24"/>
          <w:lang w:val="en-US"/>
        </w:rPr>
        <w:t>Wildlife Research</w:t>
      </w:r>
      <w:r>
        <w:rPr>
          <w:rFonts w:cs="Times New Roman"/>
          <w:sz w:val="24"/>
          <w:szCs w:val="24"/>
          <w:lang w:val="en-US"/>
        </w:rPr>
        <w:t>, 35:806-811.</w:t>
      </w:r>
    </w:p>
    <w:p w:rsidR="00A01955" w:rsidRPr="0099279C" w:rsidRDefault="00A01955" w:rsidP="0062089F">
      <w:pPr>
        <w:rPr>
          <w:rFonts w:cs="Times New Roman"/>
          <w:sz w:val="24"/>
          <w:szCs w:val="24"/>
          <w:lang w:val="en-US"/>
        </w:rPr>
      </w:pPr>
      <w:r w:rsidRPr="0099279C">
        <w:rPr>
          <w:rFonts w:cs="Times New Roman"/>
          <w:sz w:val="24"/>
          <w:szCs w:val="24"/>
          <w:lang w:val="en-US"/>
        </w:rPr>
        <w:t xml:space="preserve">Weber, P. 2001. Vitamin K and bone health. </w:t>
      </w:r>
      <w:r w:rsidRPr="00C7714B">
        <w:rPr>
          <w:rFonts w:cs="Times New Roman"/>
          <w:i/>
          <w:sz w:val="24"/>
          <w:szCs w:val="24"/>
          <w:lang w:val="en-US"/>
        </w:rPr>
        <w:t>Nutrition</w:t>
      </w:r>
      <w:r w:rsidR="00C7714B" w:rsidRPr="00C7714B">
        <w:rPr>
          <w:rFonts w:cs="Times New Roman"/>
          <w:sz w:val="24"/>
          <w:szCs w:val="24"/>
          <w:lang w:val="en-US"/>
        </w:rPr>
        <w:t>,</w:t>
      </w:r>
      <w:r w:rsidRPr="0099279C">
        <w:rPr>
          <w:rFonts w:cs="Times New Roman"/>
          <w:sz w:val="24"/>
          <w:szCs w:val="24"/>
          <w:lang w:val="en-US"/>
        </w:rPr>
        <w:t xml:space="preserve"> 17:880-887.</w:t>
      </w:r>
    </w:p>
    <w:p w:rsidR="009770C1" w:rsidRPr="0099279C" w:rsidRDefault="00F15C59" w:rsidP="0062089F">
      <w:pPr>
        <w:rPr>
          <w:rFonts w:cs="Times New Roman"/>
          <w:sz w:val="24"/>
          <w:szCs w:val="24"/>
          <w:lang w:val="en-US"/>
        </w:rPr>
      </w:pPr>
      <w:proofErr w:type="gramStart"/>
      <w:r w:rsidRPr="0099279C">
        <w:rPr>
          <w:rFonts w:cs="Times New Roman"/>
          <w:sz w:val="24"/>
          <w:szCs w:val="24"/>
          <w:lang w:val="en-US"/>
        </w:rPr>
        <w:t>Wildlife International.</w:t>
      </w:r>
      <w:proofErr w:type="gramEnd"/>
      <w:r w:rsidRPr="0099279C">
        <w:rPr>
          <w:rFonts w:cs="Times New Roman"/>
          <w:sz w:val="24"/>
          <w:szCs w:val="24"/>
          <w:lang w:val="en-US"/>
        </w:rPr>
        <w:t xml:space="preserve"> 1979a. </w:t>
      </w:r>
      <w:proofErr w:type="gramStart"/>
      <w:r w:rsidRPr="0099279C">
        <w:rPr>
          <w:rFonts w:cs="Times New Roman"/>
          <w:sz w:val="24"/>
          <w:szCs w:val="24"/>
          <w:lang w:val="en-US"/>
        </w:rPr>
        <w:t>Forty-</w:t>
      </w:r>
      <w:proofErr w:type="gramEnd"/>
      <w:r w:rsidRPr="0099279C">
        <w:rPr>
          <w:rFonts w:cs="Times New Roman"/>
          <w:sz w:val="24"/>
          <w:szCs w:val="24"/>
          <w:lang w:val="en-US"/>
        </w:rPr>
        <w:t xml:space="preserve">day LC50 </w:t>
      </w:r>
      <w:r w:rsidR="00F67AB0" w:rsidRPr="0099279C">
        <w:rPr>
          <w:rFonts w:cs="Times New Roman"/>
          <w:sz w:val="24"/>
          <w:szCs w:val="24"/>
          <w:lang w:val="en-US"/>
        </w:rPr>
        <w:t>-</w:t>
      </w:r>
      <w:r w:rsidRPr="0099279C">
        <w:rPr>
          <w:rFonts w:cs="Times New Roman"/>
          <w:sz w:val="24"/>
          <w:szCs w:val="24"/>
          <w:lang w:val="en-US"/>
        </w:rPr>
        <w:t xml:space="preserve"> Laughing Gull, Technical Brodifacoum,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15C59" w:rsidRDefault="00F15C59" w:rsidP="0062089F">
      <w:pPr>
        <w:rPr>
          <w:rFonts w:cs="Times New Roman"/>
          <w:sz w:val="24"/>
          <w:szCs w:val="24"/>
          <w:lang w:val="en-US"/>
        </w:rPr>
      </w:pPr>
      <w:proofErr w:type="gramStart"/>
      <w:r w:rsidRPr="0099279C">
        <w:rPr>
          <w:rFonts w:cs="Times New Roman"/>
          <w:sz w:val="24"/>
          <w:szCs w:val="24"/>
          <w:lang w:val="en-US"/>
        </w:rPr>
        <w:t>Wildlife International.</w:t>
      </w:r>
      <w:proofErr w:type="gramEnd"/>
      <w:r w:rsidRPr="0099279C">
        <w:rPr>
          <w:rFonts w:cs="Times New Roman"/>
          <w:sz w:val="24"/>
          <w:szCs w:val="24"/>
          <w:lang w:val="en-US"/>
        </w:rPr>
        <w:t xml:space="preserve"> 1979b. Forty-day Dietary LC50 </w:t>
      </w:r>
      <w:r w:rsidR="00F67AB0" w:rsidRPr="0099279C">
        <w:rPr>
          <w:rFonts w:cs="Times New Roman"/>
          <w:sz w:val="24"/>
          <w:szCs w:val="24"/>
          <w:lang w:val="en-US"/>
        </w:rPr>
        <w:t>-</w:t>
      </w:r>
      <w:r w:rsidRPr="0099279C">
        <w:rPr>
          <w:rFonts w:cs="Times New Roman"/>
          <w:sz w:val="24"/>
          <w:szCs w:val="24"/>
          <w:lang w:val="en-US"/>
        </w:rPr>
        <w:t xml:space="preserve"> Laughing Gull, Masticated Rodent Tissue Containing PP581,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660DC" w:rsidRPr="0099279C" w:rsidRDefault="00F660DC" w:rsidP="00ED7F9E">
      <w:pPr>
        <w:rPr>
          <w:rFonts w:cs="Times New Roman"/>
          <w:sz w:val="24"/>
          <w:szCs w:val="24"/>
          <w:lang w:val="en-US"/>
        </w:rPr>
      </w:pPr>
      <w:proofErr w:type="gramStart"/>
      <w:r w:rsidRPr="00F660DC">
        <w:rPr>
          <w:rFonts w:cs="Times New Roman"/>
          <w:sz w:val="24"/>
          <w:szCs w:val="24"/>
          <w:lang w:val="en-US"/>
        </w:rPr>
        <w:t>Witmer</w:t>
      </w:r>
      <w:r>
        <w:rPr>
          <w:rFonts w:cs="Times New Roman"/>
          <w:sz w:val="24"/>
          <w:szCs w:val="24"/>
          <w:lang w:val="en-US"/>
        </w:rPr>
        <w:t>, G.,</w:t>
      </w:r>
      <w:r w:rsidRPr="00F660DC">
        <w:rPr>
          <w:rFonts w:cs="Times New Roman"/>
          <w:sz w:val="24"/>
          <w:szCs w:val="24"/>
          <w:lang w:val="en-US"/>
        </w:rPr>
        <w:t xml:space="preserve"> J</w:t>
      </w:r>
      <w:r>
        <w:rPr>
          <w:rFonts w:cs="Times New Roman"/>
          <w:sz w:val="24"/>
          <w:szCs w:val="24"/>
          <w:lang w:val="en-US"/>
        </w:rPr>
        <w:t>.</w:t>
      </w:r>
      <w:r w:rsidRPr="00F660DC">
        <w:rPr>
          <w:rFonts w:cs="Times New Roman"/>
          <w:sz w:val="24"/>
          <w:szCs w:val="24"/>
          <w:lang w:val="en-US"/>
        </w:rPr>
        <w:t>D. Eisemann</w:t>
      </w:r>
      <w:r>
        <w:rPr>
          <w:rFonts w:cs="Times New Roman"/>
          <w:sz w:val="24"/>
          <w:szCs w:val="24"/>
          <w:lang w:val="en-US"/>
        </w:rPr>
        <w:t xml:space="preserve"> and </w:t>
      </w:r>
      <w:r w:rsidRPr="00F660DC">
        <w:rPr>
          <w:rFonts w:cs="Times New Roman"/>
          <w:sz w:val="24"/>
          <w:szCs w:val="24"/>
          <w:lang w:val="en-US"/>
        </w:rPr>
        <w:t>G</w:t>
      </w:r>
      <w:r>
        <w:rPr>
          <w:rFonts w:cs="Times New Roman"/>
          <w:sz w:val="24"/>
          <w:szCs w:val="24"/>
          <w:lang w:val="en-US"/>
        </w:rPr>
        <w:t>.</w:t>
      </w:r>
      <w:r w:rsidRPr="00F660DC">
        <w:rPr>
          <w:rFonts w:cs="Times New Roman"/>
          <w:sz w:val="24"/>
          <w:szCs w:val="24"/>
          <w:lang w:val="en-US"/>
        </w:rPr>
        <w:t xml:space="preserve"> Howald</w:t>
      </w:r>
      <w:r>
        <w:rPr>
          <w:rFonts w:cs="Times New Roman"/>
          <w:sz w:val="24"/>
          <w:szCs w:val="24"/>
          <w:lang w:val="en-US"/>
        </w:rPr>
        <w:t>.</w:t>
      </w:r>
      <w:proofErr w:type="gramEnd"/>
      <w:r>
        <w:rPr>
          <w:rFonts w:cs="Times New Roman"/>
          <w:sz w:val="24"/>
          <w:szCs w:val="24"/>
          <w:lang w:val="en-US"/>
        </w:rPr>
        <w:t xml:space="preserve"> 2007. The </w:t>
      </w:r>
      <w:r w:rsidR="00ED7F9E">
        <w:rPr>
          <w:rFonts w:cs="Times New Roman"/>
          <w:sz w:val="24"/>
          <w:szCs w:val="24"/>
          <w:lang w:val="en-US"/>
        </w:rPr>
        <w:t>U</w:t>
      </w:r>
      <w:r>
        <w:rPr>
          <w:rFonts w:cs="Times New Roman"/>
          <w:sz w:val="24"/>
          <w:szCs w:val="24"/>
          <w:lang w:val="en-US"/>
        </w:rPr>
        <w:t xml:space="preserve">se of Rodenticides for Conservation Efforts. </w:t>
      </w:r>
      <w:r w:rsidR="001133C9">
        <w:rPr>
          <w:rFonts w:cs="Times New Roman"/>
          <w:sz w:val="24"/>
          <w:szCs w:val="24"/>
          <w:lang w:val="en-US"/>
        </w:rPr>
        <w:t xml:space="preserve">In: </w:t>
      </w:r>
      <w:r w:rsidR="001133C9" w:rsidRPr="00ED7F9E">
        <w:rPr>
          <w:rFonts w:cs="Times New Roman"/>
          <w:sz w:val="24"/>
          <w:szCs w:val="24"/>
          <w:lang w:val="en-US"/>
        </w:rPr>
        <w:t>D.L. Nolte, W.M.</w:t>
      </w:r>
      <w:r w:rsidR="001133C9">
        <w:rPr>
          <w:rFonts w:cs="Times New Roman"/>
          <w:sz w:val="24"/>
          <w:szCs w:val="24"/>
          <w:lang w:val="en-US"/>
        </w:rPr>
        <w:t xml:space="preserve"> Arjo and </w:t>
      </w:r>
      <w:r w:rsidR="001133C9" w:rsidRPr="00ED7F9E">
        <w:rPr>
          <w:rFonts w:cs="Times New Roman"/>
          <w:sz w:val="24"/>
          <w:szCs w:val="24"/>
          <w:lang w:val="en-US"/>
        </w:rPr>
        <w:t>D.H. Stalman</w:t>
      </w:r>
      <w:r w:rsidR="001133C9">
        <w:rPr>
          <w:rFonts w:cs="Times New Roman"/>
          <w:sz w:val="24"/>
          <w:szCs w:val="24"/>
          <w:lang w:val="en-US"/>
        </w:rPr>
        <w:t>,</w:t>
      </w:r>
      <w:r w:rsidR="001133C9" w:rsidRPr="00ED7F9E">
        <w:rPr>
          <w:rFonts w:cs="Times New Roman"/>
          <w:sz w:val="24"/>
          <w:szCs w:val="24"/>
          <w:lang w:val="en-US"/>
        </w:rPr>
        <w:t xml:space="preserve"> </w:t>
      </w:r>
      <w:r w:rsidR="001133C9">
        <w:rPr>
          <w:rFonts w:cs="Times New Roman"/>
          <w:sz w:val="24"/>
          <w:szCs w:val="24"/>
          <w:lang w:val="en-US"/>
        </w:rPr>
        <w:t xml:space="preserve">Eds, </w:t>
      </w:r>
      <w:r w:rsidR="00ED7F9E" w:rsidRPr="00C7714B">
        <w:rPr>
          <w:rFonts w:cs="Times New Roman"/>
          <w:i/>
          <w:sz w:val="24"/>
          <w:szCs w:val="24"/>
          <w:lang w:val="en-US"/>
        </w:rPr>
        <w:t>Proceedings of the 12th Wildlife Damage Management Conference</w:t>
      </w:r>
      <w:r w:rsidR="00945ACD">
        <w:rPr>
          <w:rFonts w:cs="Times New Roman"/>
          <w:sz w:val="24"/>
          <w:szCs w:val="24"/>
          <w:lang w:val="en-US"/>
        </w:rPr>
        <w:t xml:space="preserve">, </w:t>
      </w:r>
      <w:r w:rsidR="00C7714B">
        <w:rPr>
          <w:rFonts w:cs="Times New Roman"/>
          <w:sz w:val="24"/>
          <w:szCs w:val="24"/>
          <w:lang w:val="en-US"/>
        </w:rPr>
        <w:t>12:</w:t>
      </w:r>
      <w:r w:rsidR="00945ACD">
        <w:rPr>
          <w:rFonts w:cs="Times New Roman"/>
          <w:sz w:val="24"/>
          <w:szCs w:val="24"/>
          <w:lang w:val="en-US"/>
        </w:rPr>
        <w:t xml:space="preserve"> 160-167.</w:t>
      </w:r>
    </w:p>
    <w:p w:rsidR="00E11181" w:rsidRDefault="00E11181" w:rsidP="0062089F">
      <w:pPr>
        <w:rPr>
          <w:rFonts w:cs="Times New Roman"/>
          <w:sz w:val="24"/>
          <w:szCs w:val="24"/>
          <w:lang w:val="en-US"/>
        </w:rPr>
      </w:pPr>
      <w:proofErr w:type="gramStart"/>
      <w:r w:rsidRPr="0099279C">
        <w:rPr>
          <w:rFonts w:cs="Times New Roman"/>
          <w:sz w:val="24"/>
          <w:szCs w:val="24"/>
          <w:lang w:val="en-US"/>
        </w:rPr>
        <w:t>World Health Organization.</w:t>
      </w:r>
      <w:proofErr w:type="gramEnd"/>
      <w:r w:rsidRPr="0099279C">
        <w:rPr>
          <w:rFonts w:cs="Times New Roman"/>
          <w:sz w:val="24"/>
          <w:szCs w:val="24"/>
          <w:lang w:val="en-US"/>
        </w:rPr>
        <w:t xml:space="preserve"> 1995. Anticoagulant rodenticides. </w:t>
      </w:r>
      <w:proofErr w:type="gramStart"/>
      <w:r w:rsidRPr="0099279C">
        <w:rPr>
          <w:rFonts w:cs="Times New Roman"/>
          <w:sz w:val="24"/>
          <w:szCs w:val="24"/>
          <w:lang w:val="en-US"/>
        </w:rPr>
        <w:t>World Health Organization, Geneva, Switzerland.</w:t>
      </w:r>
      <w:proofErr w:type="gramEnd"/>
      <w:r w:rsidRPr="0099279C">
        <w:rPr>
          <w:rFonts w:cs="Times New Roman"/>
          <w:sz w:val="24"/>
          <w:szCs w:val="24"/>
          <w:lang w:val="en-US"/>
        </w:rPr>
        <w:t xml:space="preserve"> </w:t>
      </w:r>
      <w:proofErr w:type="gramStart"/>
      <w:r w:rsidRPr="0099279C">
        <w:rPr>
          <w:rFonts w:cs="Times New Roman"/>
          <w:sz w:val="24"/>
          <w:szCs w:val="24"/>
          <w:lang w:val="en-US"/>
        </w:rPr>
        <w:t>Environmental Health Criteria 175.</w:t>
      </w:r>
      <w:proofErr w:type="gramEnd"/>
    </w:p>
    <w:p w:rsidR="005B3FED" w:rsidRDefault="005B3FED">
      <w:pPr>
        <w:rPr>
          <w:rFonts w:cs="Times New Roman"/>
          <w:sz w:val="24"/>
          <w:szCs w:val="24"/>
          <w:lang w:val="en-US"/>
        </w:rPr>
      </w:pPr>
      <w:r>
        <w:rPr>
          <w:rFonts w:cs="Times New Roman"/>
          <w:sz w:val="24"/>
          <w:szCs w:val="24"/>
          <w:lang w:val="en-US"/>
        </w:rPr>
        <w:br w:type="page"/>
      </w:r>
    </w:p>
    <w:p w:rsidR="005B3FED" w:rsidRDefault="005B3FED" w:rsidP="005B3FED">
      <w:pPr>
        <w:rPr>
          <w:rFonts w:cs="Times New Roman"/>
          <w:sz w:val="28"/>
        </w:rPr>
        <w:sectPr w:rsidR="005B3FED" w:rsidSect="00565C3A">
          <w:pgSz w:w="12240" w:h="15840"/>
          <w:pgMar w:top="1440" w:right="1440" w:bottom="1440" w:left="1440" w:header="708" w:footer="708" w:gutter="0"/>
          <w:cols w:space="708"/>
          <w:docGrid w:linePitch="360"/>
        </w:sectPr>
      </w:pPr>
    </w:p>
    <w:p w:rsidR="005B3FED" w:rsidRDefault="005B3FED" w:rsidP="005B3FED">
      <w:pPr>
        <w:pStyle w:val="Heading1"/>
        <w:numPr>
          <w:ilvl w:val="0"/>
          <w:numId w:val="0"/>
        </w:numPr>
      </w:pPr>
      <w:bookmarkStart w:id="58" w:name="_Toc343007955"/>
      <w:r>
        <w:t>APPENDIX A – MODELING RESULTS FOR WESTERN GULLS EXPOSED TO BRODIFACOUM ON THE FARALLON ISLANDS</w:t>
      </w:r>
      <w:bookmarkEnd w:id="58"/>
    </w:p>
    <w:tbl>
      <w:tblPr>
        <w:tblStyle w:val="TableGrid"/>
        <w:tblW w:w="5000" w:type="pct"/>
        <w:jc w:val="center"/>
        <w:tblLook w:val="04A0" w:firstRow="1" w:lastRow="0" w:firstColumn="1" w:lastColumn="0" w:noHBand="0" w:noVBand="1"/>
      </w:tblPr>
      <w:tblGrid>
        <w:gridCol w:w="1754"/>
        <w:gridCol w:w="1671"/>
        <w:gridCol w:w="1639"/>
        <w:gridCol w:w="1871"/>
        <w:gridCol w:w="1605"/>
        <w:gridCol w:w="1484"/>
        <w:gridCol w:w="1671"/>
        <w:gridCol w:w="1481"/>
      </w:tblGrid>
      <w:tr w:rsidR="005B3FED" w:rsidRPr="009346A9" w:rsidTr="001E621F">
        <w:trPr>
          <w:tblHeader/>
          <w:jc w:val="center"/>
        </w:trPr>
        <w:tc>
          <w:tcPr>
            <w:tcW w:w="666"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Date of Application</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Gulls Removed by Hazing</w:t>
            </w:r>
          </w:p>
        </w:tc>
        <w:tc>
          <w:tcPr>
            <w:tcW w:w="622"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Time to Significant Rainfall Event (d)</w:t>
            </w:r>
          </w:p>
        </w:tc>
        <w:tc>
          <w:tcPr>
            <w:tcW w:w="710"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Number of Applications</w:t>
            </w:r>
          </w:p>
        </w:tc>
        <w:tc>
          <w:tcPr>
            <w:tcW w:w="609"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Dead Mice Removed?</w:t>
            </w:r>
          </w:p>
        </w:tc>
        <w:tc>
          <w:tcPr>
            <w:tcW w:w="563"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Mean Total Ingested Dose (mg ai/kg bw)</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Dead Gulls</w:t>
            </w:r>
          </w:p>
        </w:tc>
        <w:tc>
          <w:tcPr>
            <w:tcW w:w="562" w:type="pct"/>
            <w:vAlign w:val="center"/>
          </w:tcPr>
          <w:p w:rsidR="005B3FED" w:rsidRPr="009346A9" w:rsidRDefault="005B3FED" w:rsidP="001E621F">
            <w:pPr>
              <w:jc w:val="center"/>
              <w:rPr>
                <w:rFonts w:cs="Times New Roman"/>
                <w:b/>
                <w:sz w:val="24"/>
                <w:szCs w:val="24"/>
              </w:rPr>
            </w:pPr>
            <w:r w:rsidRPr="009346A9">
              <w:rPr>
                <w:rFonts w:cs="Times New Roman"/>
                <w:b/>
                <w:sz w:val="24"/>
                <w:szCs w:val="24"/>
              </w:rPr>
              <w:t xml:space="preserve">Number of Dead </w:t>
            </w:r>
            <w:r w:rsidR="003122E5">
              <w:rPr>
                <w:rFonts w:cs="Times New Roman"/>
                <w:b/>
                <w:sz w:val="24"/>
                <w:szCs w:val="24"/>
              </w:rPr>
              <w:t>Gulls</w:t>
            </w:r>
            <w:r w:rsidR="003122E5" w:rsidRPr="009346A9">
              <w:rPr>
                <w:rFonts w:cs="Times New Roman"/>
                <w:b/>
                <w:sz w:val="24"/>
                <w:szCs w:val="24"/>
              </w:rPr>
              <w:t xml:space="preserve"> </w:t>
            </w:r>
            <w:r w:rsidRPr="009346A9">
              <w:rPr>
                <w:rFonts w:cs="Times New Roman"/>
                <w:b/>
                <w:sz w:val="24"/>
                <w:szCs w:val="24"/>
              </w:rPr>
              <w:t xml:space="preserve">(#/11,000 </w:t>
            </w:r>
            <w:r w:rsidR="001E621F">
              <w:rPr>
                <w:rFonts w:cs="Times New Roman"/>
                <w:b/>
                <w:sz w:val="24"/>
                <w:szCs w:val="24"/>
              </w:rPr>
              <w:t>Gulls</w:t>
            </w:r>
            <w:r w:rsidRPr="009346A9">
              <w:rPr>
                <w:rFonts w:cs="Times New Roman"/>
                <w:b/>
                <w:sz w:val="24"/>
                <w:szCs w:val="24"/>
              </w:rPr>
              <w:t>)</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0.608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0.726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0.787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2345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0.877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2483</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0.863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2487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0.0695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764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0.285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0.0793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0.317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0.0882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970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0.339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0.355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0.0924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1016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0.0902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992</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0.0905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995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376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0.0429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0.0443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481</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0.18</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151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0.0556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0.0166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0.0663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209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0.0666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0.0353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388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0.348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1192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0.362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1244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0.492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0.157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1729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0.516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1771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0.527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1837</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0.54</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0.17</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1871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0.0152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166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0.135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474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0.146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489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0.0641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704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0.0658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745</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739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0.0254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0.0077</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0.0246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81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0.0677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0.0213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234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0.0716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0.022</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242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0.0321</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353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358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0.0327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360</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0.108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0.0344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378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0.00864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0.00267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0.00789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0.0024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0.0244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0.00727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79</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0.03</w:t>
            </w:r>
            <w:r>
              <w:rPr>
                <w:rFonts w:eastAsia="Times New Roman" w:cs="Times New Roman"/>
                <w:color w:val="000000"/>
                <w:sz w:val="24"/>
                <w:szCs w:val="24"/>
              </w:rPr>
              <w:t>00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0.0091</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0.0425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0.0126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138</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4</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0.0433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0.0134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147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0.997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2674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2695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1.07</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2690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2680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0.24</w:t>
            </w:r>
            <w:r>
              <w:rPr>
                <w:rFonts w:eastAsia="Times New Roman" w:cs="Times New Roman"/>
                <w:color w:val="000000"/>
                <w:sz w:val="24"/>
                <w:szCs w:val="24"/>
              </w:rPr>
              <w:t>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2626</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0.237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2611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0.0967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0.409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1044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0.43</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0.0989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1087</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0.0955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1050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0.0975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1072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0.0945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1039</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0.415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0.0968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1064</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0.199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0.0469</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515</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0.0466</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0.0465</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511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w:t>
            </w:r>
            <w:r>
              <w:rPr>
                <w:rFonts w:eastAsia="Times New Roman" w:cs="Times New Roman"/>
                <w:color w:val="000000"/>
                <w:sz w:val="24"/>
                <w:szCs w:val="24"/>
              </w:rPr>
              <w:t>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530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0.211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0.0484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532</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0.203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0.0474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521</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0.0194</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213</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0.0799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0.0188</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206</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0.0858</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w:t>
            </w:r>
            <w:r>
              <w:rPr>
                <w:rFonts w:eastAsia="Times New Roman" w:cs="Times New Roman"/>
                <w:color w:val="000000"/>
                <w:sz w:val="24"/>
                <w:szCs w:val="24"/>
              </w:rPr>
              <w:t>00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0.0815</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0.0193</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212</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0.0821</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0.0192</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210</w:t>
            </w:r>
          </w:p>
        </w:tc>
      </w:tr>
      <w:tr w:rsidR="005B3FED" w:rsidRPr="009346A9" w:rsidTr="001E621F">
        <w:trPr>
          <w:trHeight w:val="300"/>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0.0762</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0.0177</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194</w:t>
            </w:r>
          </w:p>
        </w:tc>
      </w:tr>
      <w:tr w:rsidR="005B3FED" w:rsidRPr="009346A9" w:rsidTr="001E621F">
        <w:trPr>
          <w:trHeight w:val="315"/>
          <w:jc w:val="center"/>
        </w:trPr>
        <w:tc>
          <w:tcPr>
            <w:tcW w:w="666" w:type="pct"/>
            <w:noWrap/>
            <w:vAlign w:val="center"/>
            <w:hideMark/>
          </w:tcPr>
          <w:p w:rsidR="005B3FED" w:rsidRPr="009346A9" w:rsidRDefault="005B3FED"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117</w:t>
            </w:r>
          </w:p>
        </w:tc>
        <w:tc>
          <w:tcPr>
            <w:tcW w:w="710"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0.0854</w:t>
            </w:r>
          </w:p>
        </w:tc>
        <w:tc>
          <w:tcPr>
            <w:tcW w:w="634"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0.02</w:t>
            </w:r>
            <w:r>
              <w:rPr>
                <w:rFonts w:eastAsia="Times New Roman" w:cs="Times New Roman"/>
                <w:color w:val="000000"/>
                <w:sz w:val="24"/>
                <w:szCs w:val="24"/>
              </w:rPr>
              <w:t>00</w:t>
            </w:r>
          </w:p>
        </w:tc>
        <w:tc>
          <w:tcPr>
            <w:tcW w:w="562" w:type="pct"/>
            <w:noWrap/>
            <w:vAlign w:val="center"/>
            <w:hideMark/>
          </w:tcPr>
          <w:p w:rsidR="005B3FED" w:rsidRPr="009346A9" w:rsidRDefault="005B3FED" w:rsidP="00101022">
            <w:pPr>
              <w:jc w:val="center"/>
              <w:rPr>
                <w:rFonts w:eastAsia="Times New Roman" w:cs="Times New Roman"/>
                <w:color w:val="000000"/>
                <w:sz w:val="24"/>
                <w:szCs w:val="24"/>
              </w:rPr>
            </w:pPr>
            <w:r w:rsidRPr="009346A9">
              <w:rPr>
                <w:rFonts w:eastAsia="Times New Roman" w:cs="Times New Roman"/>
                <w:color w:val="000000"/>
                <w:sz w:val="24"/>
                <w:szCs w:val="24"/>
              </w:rPr>
              <w:t>220</w:t>
            </w:r>
          </w:p>
        </w:tc>
      </w:tr>
      <w:tr w:rsidR="00E9636F" w:rsidRPr="009346A9" w:rsidTr="00E9636F">
        <w:trPr>
          <w:trHeight w:val="315"/>
          <w:jc w:val="center"/>
        </w:trPr>
        <w:tc>
          <w:tcPr>
            <w:tcW w:w="666" w:type="pct"/>
            <w:noWrap/>
            <w:vAlign w:val="center"/>
            <w:hideMark/>
          </w:tcPr>
          <w:p w:rsidR="00E9636F" w:rsidRPr="009346A9" w:rsidRDefault="00E9636F"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E9636F" w:rsidRPr="009346A9" w:rsidRDefault="00E9636F"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1</w:t>
            </w:r>
          </w:p>
        </w:tc>
        <w:tc>
          <w:tcPr>
            <w:tcW w:w="609"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E9636F" w:rsidRPr="009346A9" w:rsidRDefault="00E9636F" w:rsidP="00B06B2D">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03</w:t>
            </w:r>
            <w:r w:rsidR="00B06B2D">
              <w:rPr>
                <w:rFonts w:eastAsia="Times New Roman" w:cs="Times New Roman"/>
                <w:color w:val="000000"/>
                <w:sz w:val="24"/>
                <w:szCs w:val="24"/>
              </w:rPr>
              <w:t>16</w:t>
            </w:r>
          </w:p>
        </w:tc>
        <w:tc>
          <w:tcPr>
            <w:tcW w:w="634"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0.0144</w:t>
            </w:r>
          </w:p>
        </w:tc>
        <w:tc>
          <w:tcPr>
            <w:tcW w:w="562"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158</w:t>
            </w:r>
          </w:p>
        </w:tc>
      </w:tr>
      <w:tr w:rsidR="00E9636F" w:rsidRPr="009346A9" w:rsidTr="00E9636F">
        <w:trPr>
          <w:trHeight w:val="315"/>
          <w:jc w:val="center"/>
        </w:trPr>
        <w:tc>
          <w:tcPr>
            <w:tcW w:w="666" w:type="pct"/>
            <w:noWrap/>
            <w:vAlign w:val="center"/>
            <w:hideMark/>
          </w:tcPr>
          <w:p w:rsidR="00E9636F" w:rsidRPr="009346A9" w:rsidRDefault="00E9636F"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E9636F" w:rsidRPr="009346A9" w:rsidRDefault="00E9636F"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28</w:t>
            </w:r>
          </w:p>
        </w:tc>
        <w:tc>
          <w:tcPr>
            <w:tcW w:w="710"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E9636F" w:rsidRPr="009346A9" w:rsidRDefault="00E9636F" w:rsidP="00101022">
            <w:pPr>
              <w:jc w:val="center"/>
              <w:rPr>
                <w:rFonts w:eastAsia="Times New Roman" w:cs="Times New Roman"/>
                <w:color w:val="000000"/>
                <w:sz w:val="24"/>
                <w:szCs w:val="24"/>
              </w:rPr>
            </w:pPr>
            <w:r w:rsidRPr="009346A9">
              <w:rPr>
                <w:rFonts w:eastAsia="Times New Roman" w:cs="Times New Roman"/>
                <w:color w:val="000000"/>
                <w:sz w:val="24"/>
                <w:szCs w:val="24"/>
              </w:rPr>
              <w:t>Yes</w:t>
            </w:r>
          </w:p>
        </w:tc>
        <w:tc>
          <w:tcPr>
            <w:tcW w:w="563" w:type="pct"/>
            <w:noWrap/>
            <w:vAlign w:val="center"/>
            <w:hideMark/>
          </w:tcPr>
          <w:p w:rsidR="00E9636F" w:rsidRPr="009346A9" w:rsidRDefault="00E9636F" w:rsidP="00101022">
            <w:pPr>
              <w:jc w:val="center"/>
              <w:rPr>
                <w:rFonts w:eastAsia="Times New Roman" w:cs="Times New Roman"/>
                <w:color w:val="000000"/>
                <w:sz w:val="24"/>
                <w:szCs w:val="24"/>
              </w:rPr>
            </w:pPr>
            <w:r>
              <w:rPr>
                <w:rFonts w:eastAsia="Times New Roman" w:cs="Times New Roman"/>
                <w:color w:val="000000"/>
                <w:sz w:val="24"/>
                <w:szCs w:val="24"/>
              </w:rPr>
              <w:t>0.340</w:t>
            </w:r>
          </w:p>
        </w:tc>
        <w:tc>
          <w:tcPr>
            <w:tcW w:w="634"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0.0894</w:t>
            </w:r>
          </w:p>
        </w:tc>
        <w:tc>
          <w:tcPr>
            <w:tcW w:w="562" w:type="pct"/>
            <w:noWrap/>
            <w:hideMark/>
          </w:tcPr>
          <w:p w:rsidR="00E9636F" w:rsidRPr="00E9636F" w:rsidRDefault="00E9636F" w:rsidP="00101022">
            <w:pPr>
              <w:jc w:val="center"/>
              <w:rPr>
                <w:rFonts w:eastAsia="Times New Roman" w:cs="Times New Roman"/>
                <w:color w:val="000000"/>
                <w:sz w:val="24"/>
                <w:szCs w:val="24"/>
              </w:rPr>
            </w:pPr>
            <w:r w:rsidRPr="00E9636F">
              <w:rPr>
                <w:sz w:val="24"/>
                <w:szCs w:val="24"/>
              </w:rPr>
              <w:t>984</w:t>
            </w:r>
          </w:p>
        </w:tc>
      </w:tr>
    </w:tbl>
    <w:p w:rsidR="005B3FED" w:rsidRDefault="005B3FED" w:rsidP="0062089F">
      <w:pPr>
        <w:rPr>
          <w:rFonts w:cs="Times New Roman"/>
          <w:sz w:val="24"/>
          <w:szCs w:val="24"/>
          <w:lang w:val="en-US"/>
        </w:rPr>
        <w:sectPr w:rsidR="005B3FED" w:rsidSect="005B3FED">
          <w:pgSz w:w="15840" w:h="12240" w:orient="landscape"/>
          <w:pgMar w:top="1440" w:right="1440" w:bottom="1440" w:left="1440" w:header="706" w:footer="706" w:gutter="0"/>
          <w:cols w:space="708"/>
          <w:docGrid w:linePitch="360"/>
        </w:sectPr>
      </w:pPr>
    </w:p>
    <w:p w:rsidR="005B3FED" w:rsidRDefault="005B3FED" w:rsidP="0004132C">
      <w:pPr>
        <w:pStyle w:val="Heading1"/>
        <w:numPr>
          <w:ilvl w:val="0"/>
          <w:numId w:val="0"/>
        </w:numPr>
      </w:pPr>
      <w:bookmarkStart w:id="59" w:name="_Toc343007956"/>
      <w:r>
        <w:t xml:space="preserve">APPENDIX </w:t>
      </w:r>
      <w:r w:rsidR="00D35CE2">
        <w:t xml:space="preserve">B </w:t>
      </w:r>
      <w:r>
        <w:t>– MODELING RESULTS FOR WESTERN GULLS EXPOSED TO DIPHACINONE ON THE FARALLON ISLANDS</w:t>
      </w:r>
      <w:bookmarkEnd w:id="59"/>
    </w:p>
    <w:tbl>
      <w:tblPr>
        <w:tblStyle w:val="TableGrid"/>
        <w:tblW w:w="5000" w:type="pct"/>
        <w:tblLook w:val="04A0" w:firstRow="1" w:lastRow="0" w:firstColumn="1" w:lastColumn="0" w:noHBand="0" w:noVBand="1"/>
      </w:tblPr>
      <w:tblGrid>
        <w:gridCol w:w="1750"/>
        <w:gridCol w:w="1668"/>
        <w:gridCol w:w="1634"/>
        <w:gridCol w:w="1866"/>
        <w:gridCol w:w="1602"/>
        <w:gridCol w:w="1478"/>
        <w:gridCol w:w="1449"/>
        <w:gridCol w:w="1729"/>
      </w:tblGrid>
      <w:tr w:rsidR="005B3FED" w:rsidRPr="00E52BA7" w:rsidTr="001E621F">
        <w:trPr>
          <w:trHeight w:val="1061"/>
          <w:tblHeader/>
        </w:trPr>
        <w:tc>
          <w:tcPr>
            <w:tcW w:w="664"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Date of Application</w:t>
            </w:r>
          </w:p>
        </w:tc>
        <w:tc>
          <w:tcPr>
            <w:tcW w:w="633"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Gulls Removed by Hazing</w:t>
            </w:r>
          </w:p>
        </w:tc>
        <w:tc>
          <w:tcPr>
            <w:tcW w:w="62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Time to Significant Rainfall Event (d)</w:t>
            </w:r>
          </w:p>
        </w:tc>
        <w:tc>
          <w:tcPr>
            <w:tcW w:w="7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Number of Applications</w:t>
            </w:r>
          </w:p>
        </w:tc>
        <w:tc>
          <w:tcPr>
            <w:tcW w:w="6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Dead Mice Removed?</w:t>
            </w:r>
          </w:p>
        </w:tc>
        <w:tc>
          <w:tcPr>
            <w:tcW w:w="561"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Mean Total Ingested Dose (mg ai/kg bw)</w:t>
            </w:r>
          </w:p>
        </w:tc>
        <w:tc>
          <w:tcPr>
            <w:tcW w:w="55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Dead Gulls</w:t>
            </w:r>
          </w:p>
        </w:tc>
        <w:tc>
          <w:tcPr>
            <w:tcW w:w="656" w:type="pct"/>
            <w:vAlign w:val="center"/>
          </w:tcPr>
          <w:p w:rsidR="005B3FED" w:rsidRPr="00E52BA7" w:rsidRDefault="005B3FED" w:rsidP="001E621F">
            <w:pPr>
              <w:jc w:val="center"/>
              <w:rPr>
                <w:rFonts w:cs="Times New Roman"/>
                <w:b/>
                <w:sz w:val="24"/>
                <w:szCs w:val="24"/>
              </w:rPr>
            </w:pPr>
            <w:r w:rsidRPr="00E52BA7">
              <w:rPr>
                <w:rFonts w:cs="Times New Roman"/>
                <w:b/>
                <w:sz w:val="24"/>
                <w:szCs w:val="24"/>
              </w:rPr>
              <w:t xml:space="preserve">Number of Dead </w:t>
            </w:r>
            <w:r w:rsidR="001E621F">
              <w:rPr>
                <w:rFonts w:cs="Times New Roman"/>
                <w:b/>
                <w:sz w:val="24"/>
                <w:szCs w:val="24"/>
              </w:rPr>
              <w:t>Gull</w:t>
            </w:r>
            <w:r w:rsidR="001E621F" w:rsidRPr="00E52BA7">
              <w:rPr>
                <w:rFonts w:cs="Times New Roman"/>
                <w:b/>
                <w:sz w:val="24"/>
                <w:szCs w:val="24"/>
              </w:rPr>
              <w:t xml:space="preserve">s </w:t>
            </w:r>
            <w:r w:rsidRPr="00E52BA7">
              <w:rPr>
                <w:rFonts w:cs="Times New Roman"/>
                <w:b/>
                <w:sz w:val="24"/>
                <w:szCs w:val="24"/>
              </w:rPr>
              <w:t>(#/11,000</w:t>
            </w:r>
            <w:r w:rsidR="001E621F">
              <w:rPr>
                <w:rFonts w:cs="Times New Roman"/>
                <w:b/>
                <w:sz w:val="24"/>
                <w:szCs w:val="24"/>
              </w:rPr>
              <w:t xml:space="preserve"> Gulls</w:t>
            </w:r>
            <w:r w:rsidRPr="00E52BA7">
              <w:rPr>
                <w:rFonts w:cs="Times New Roman"/>
                <w:b/>
                <w:sz w:val="24"/>
                <w:szCs w:val="24"/>
              </w:rPr>
              <w:t>)</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0.0666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732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0.0910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1001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1215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1339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1355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1349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0.0254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0.0371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407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8.72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0.0460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506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9.88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0.0500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9.87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0.0482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530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9.78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0.0485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533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9.74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0.0494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0.0124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3.94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0.0190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0.0226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0.0236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4.79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4.55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0.0221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4.68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4.90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0.99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0.00477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0.00723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0.00940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0.00957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0.00927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5.56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0.0175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6.16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0.0184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8.23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0.0255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280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8.61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265</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0.0249</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273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0.00190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0.00777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0.00800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88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0.0112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3.53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114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0.384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0.00110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0.325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0.000933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1.07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0.00343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0.00337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0.00513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0.00467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51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0.00550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0.000367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0.142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0.000433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0.447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0.00137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0.482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0.00117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0.00203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0.740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0.00217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0.664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0.00170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4</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0.650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0.00157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30.6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0.168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1852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32.2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1941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1900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1942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1921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0.174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1911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31.1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0.169</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1864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12.4</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0.0685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778</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13.0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0.0722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794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0.0696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765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0.0704</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0.0708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778</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0.0688</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757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6.07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0.0332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364</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0.0346</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380</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6.22</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0.0345</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379</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6.31</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6.27</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0.0350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385</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6.40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381</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6.10</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0.0331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363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2.28</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142</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0.0147</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161</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2.59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0.0142</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2.35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0.0143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157</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2.46</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0.0133</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146</w:t>
            </w:r>
          </w:p>
        </w:tc>
      </w:tr>
      <w:tr w:rsidR="005B3FED" w:rsidRPr="00E52BA7" w:rsidTr="001E621F">
        <w:trPr>
          <w:trHeight w:val="300"/>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2.43</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0.0131</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117</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2.49</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0.0130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143</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1</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0.345</w:t>
            </w:r>
          </w:p>
        </w:tc>
        <w:tc>
          <w:tcPr>
            <w:tcW w:w="550"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w:t>
            </w:r>
          </w:p>
        </w:tc>
        <w:tc>
          <w:tcPr>
            <w:tcW w:w="656"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0</w:t>
            </w:r>
          </w:p>
        </w:tc>
      </w:tr>
      <w:tr w:rsidR="005B3FED" w:rsidRPr="00E52BA7" w:rsidTr="001E621F">
        <w:trPr>
          <w:trHeight w:val="315"/>
        </w:trPr>
        <w:tc>
          <w:tcPr>
            <w:tcW w:w="664" w:type="pct"/>
            <w:noWrap/>
            <w:hideMark/>
          </w:tcPr>
          <w:p w:rsidR="005B3FED" w:rsidRPr="00E52BA7" w:rsidRDefault="005B3FED"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2</w:t>
            </w:r>
          </w:p>
        </w:tc>
        <w:tc>
          <w:tcPr>
            <w:tcW w:w="608" w:type="pct"/>
            <w:noWrap/>
            <w:hideMark/>
          </w:tcPr>
          <w:p w:rsidR="005B3FED" w:rsidRPr="00E52BA7" w:rsidRDefault="005B3FED"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hideMark/>
          </w:tcPr>
          <w:p w:rsidR="005B3FED" w:rsidRPr="00E52BA7" w:rsidRDefault="005B3FED" w:rsidP="00101022">
            <w:pPr>
              <w:jc w:val="center"/>
              <w:rPr>
                <w:rFonts w:cs="Times New Roman"/>
                <w:color w:val="000000"/>
                <w:sz w:val="24"/>
                <w:szCs w:val="24"/>
              </w:rPr>
            </w:pPr>
            <w:r w:rsidRPr="00E52BA7">
              <w:rPr>
                <w:rFonts w:cs="Times New Roman"/>
                <w:color w:val="000000"/>
                <w:sz w:val="24"/>
                <w:szCs w:val="24"/>
              </w:rPr>
              <w:t>12.7</w:t>
            </w:r>
          </w:p>
        </w:tc>
        <w:tc>
          <w:tcPr>
            <w:tcW w:w="550" w:type="pct"/>
            <w:noWrap/>
            <w:vAlign w:val="center"/>
            <w:hideMark/>
          </w:tcPr>
          <w:p w:rsidR="005B3FED" w:rsidRPr="00E52BA7" w:rsidRDefault="005B3FED" w:rsidP="009C3DDD">
            <w:pPr>
              <w:jc w:val="center"/>
              <w:rPr>
                <w:rFonts w:cs="Times New Roman"/>
                <w:color w:val="000000"/>
                <w:sz w:val="24"/>
                <w:szCs w:val="24"/>
              </w:rPr>
            </w:pPr>
            <w:r w:rsidRPr="00E52BA7">
              <w:rPr>
                <w:rFonts w:cs="Times New Roman"/>
                <w:color w:val="000000"/>
                <w:sz w:val="24"/>
                <w:szCs w:val="24"/>
              </w:rPr>
              <w:t>0.00</w:t>
            </w:r>
            <w:r w:rsidR="009C3DDD">
              <w:rPr>
                <w:rFonts w:cs="Times New Roman"/>
                <w:color w:val="000000"/>
                <w:sz w:val="24"/>
                <w:szCs w:val="24"/>
              </w:rPr>
              <w:t>0515</w:t>
            </w:r>
          </w:p>
        </w:tc>
        <w:tc>
          <w:tcPr>
            <w:tcW w:w="656" w:type="pct"/>
            <w:noWrap/>
            <w:vAlign w:val="center"/>
            <w:hideMark/>
          </w:tcPr>
          <w:p w:rsidR="005B3FED" w:rsidRPr="00E52BA7" w:rsidRDefault="009C3DDD" w:rsidP="00101022">
            <w:pPr>
              <w:jc w:val="center"/>
              <w:rPr>
                <w:rFonts w:cs="Times New Roman"/>
                <w:color w:val="000000"/>
                <w:sz w:val="24"/>
                <w:szCs w:val="24"/>
              </w:rPr>
            </w:pPr>
            <w:r>
              <w:rPr>
                <w:rFonts w:cs="Times New Roman"/>
                <w:color w:val="000000"/>
                <w:sz w:val="24"/>
                <w:szCs w:val="24"/>
              </w:rPr>
              <w:t>6</w:t>
            </w:r>
          </w:p>
        </w:tc>
      </w:tr>
      <w:tr w:rsidR="00243527" w:rsidRPr="00E52BA7" w:rsidTr="001E621F">
        <w:trPr>
          <w:trHeight w:val="315"/>
        </w:trPr>
        <w:tc>
          <w:tcPr>
            <w:tcW w:w="664" w:type="pct"/>
            <w:noWrap/>
            <w:hideMark/>
          </w:tcPr>
          <w:p w:rsidR="00243527" w:rsidRPr="00E52BA7" w:rsidRDefault="00243527"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sidR="009C3DDD">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28</w:t>
            </w:r>
          </w:p>
        </w:tc>
        <w:tc>
          <w:tcPr>
            <w:tcW w:w="708" w:type="pct"/>
            <w:noWrap/>
            <w:hideMark/>
          </w:tcPr>
          <w:p w:rsidR="00243527" w:rsidRPr="00E52BA7" w:rsidRDefault="00243527" w:rsidP="00101022">
            <w:pPr>
              <w:jc w:val="center"/>
              <w:rPr>
                <w:rFonts w:eastAsia="Times New Roman" w:cs="Times New Roman"/>
                <w:color w:val="000000"/>
                <w:sz w:val="24"/>
                <w:szCs w:val="24"/>
              </w:rPr>
            </w:pPr>
            <w:r>
              <w:rPr>
                <w:rFonts w:eastAsia="Times New Roman" w:cs="Times New Roman"/>
                <w:color w:val="000000"/>
                <w:sz w:val="24"/>
                <w:szCs w:val="24"/>
              </w:rPr>
              <w:t>3</w:t>
            </w:r>
          </w:p>
        </w:tc>
        <w:tc>
          <w:tcPr>
            <w:tcW w:w="608" w:type="pct"/>
            <w:noWrap/>
            <w:hideMark/>
          </w:tcPr>
          <w:p w:rsidR="00243527" w:rsidRPr="00E52BA7" w:rsidRDefault="00243527" w:rsidP="00101022">
            <w:pPr>
              <w:jc w:val="center"/>
              <w:rPr>
                <w:rFonts w:eastAsia="Times New Roman" w:cs="Times New Roman"/>
                <w:color w:val="000000"/>
                <w:sz w:val="24"/>
                <w:szCs w:val="24"/>
              </w:rPr>
            </w:pPr>
            <w:r w:rsidRPr="00E52BA7">
              <w:rPr>
                <w:rFonts w:eastAsia="Times New Roman" w:cs="Times New Roman"/>
                <w:color w:val="000000"/>
                <w:sz w:val="24"/>
                <w:szCs w:val="24"/>
              </w:rPr>
              <w:t>Yes</w:t>
            </w:r>
          </w:p>
        </w:tc>
        <w:tc>
          <w:tcPr>
            <w:tcW w:w="561" w:type="pct"/>
            <w:noWrap/>
            <w:vAlign w:val="center"/>
            <w:hideMark/>
          </w:tcPr>
          <w:p w:rsidR="00C43114" w:rsidRDefault="00F632FF">
            <w:pPr>
              <w:jc w:val="center"/>
              <w:rPr>
                <w:rFonts w:cs="Times New Roman"/>
                <w:color w:val="000000"/>
                <w:sz w:val="24"/>
                <w:szCs w:val="24"/>
              </w:rPr>
            </w:pPr>
            <w:r w:rsidRPr="00F632FF">
              <w:rPr>
                <w:sz w:val="24"/>
                <w:szCs w:val="24"/>
              </w:rPr>
              <w:t>48.2</w:t>
            </w:r>
          </w:p>
        </w:tc>
        <w:tc>
          <w:tcPr>
            <w:tcW w:w="550" w:type="pct"/>
            <w:noWrap/>
            <w:vAlign w:val="center"/>
            <w:hideMark/>
          </w:tcPr>
          <w:p w:rsidR="00C43114" w:rsidRDefault="00F632FF" w:rsidP="009C3DDD">
            <w:pPr>
              <w:jc w:val="center"/>
              <w:rPr>
                <w:rFonts w:cs="Times New Roman"/>
                <w:color w:val="000000"/>
                <w:sz w:val="24"/>
                <w:szCs w:val="24"/>
              </w:rPr>
            </w:pPr>
            <w:r w:rsidRPr="00F632FF">
              <w:rPr>
                <w:sz w:val="24"/>
                <w:szCs w:val="24"/>
              </w:rPr>
              <w:t>0.</w:t>
            </w:r>
            <w:r w:rsidR="009C3DDD">
              <w:rPr>
                <w:sz w:val="24"/>
                <w:szCs w:val="24"/>
              </w:rPr>
              <w:t>121</w:t>
            </w:r>
          </w:p>
        </w:tc>
        <w:tc>
          <w:tcPr>
            <w:tcW w:w="656" w:type="pct"/>
            <w:noWrap/>
            <w:vAlign w:val="center"/>
            <w:hideMark/>
          </w:tcPr>
          <w:p w:rsidR="00C43114" w:rsidRDefault="009C3DDD" w:rsidP="009C3DDD">
            <w:pPr>
              <w:jc w:val="center"/>
              <w:rPr>
                <w:rFonts w:cs="Times New Roman"/>
                <w:color w:val="000000"/>
                <w:sz w:val="24"/>
                <w:szCs w:val="24"/>
              </w:rPr>
            </w:pPr>
            <w:r>
              <w:rPr>
                <w:sz w:val="24"/>
                <w:szCs w:val="24"/>
              </w:rPr>
              <w:t>1332</w:t>
            </w:r>
          </w:p>
        </w:tc>
      </w:tr>
    </w:tbl>
    <w:p w:rsidR="005B3FED" w:rsidRPr="00B230D8" w:rsidRDefault="005B3FED" w:rsidP="005B3FED">
      <w:pPr>
        <w:jc w:val="center"/>
        <w:rPr>
          <w:rFonts w:cs="Times New Roman"/>
          <w:b/>
          <w:sz w:val="24"/>
        </w:rPr>
      </w:pPr>
    </w:p>
    <w:p w:rsidR="00D35CE2" w:rsidRDefault="00D35CE2" w:rsidP="0062089F">
      <w:pPr>
        <w:rPr>
          <w:rFonts w:cs="Times New Roman"/>
          <w:sz w:val="24"/>
          <w:szCs w:val="24"/>
          <w:lang w:val="en-US"/>
        </w:rPr>
        <w:sectPr w:rsidR="00D35CE2" w:rsidSect="00101022">
          <w:pgSz w:w="15840" w:h="12240" w:orient="landscape"/>
          <w:pgMar w:top="1440" w:right="1440" w:bottom="1440" w:left="1440" w:header="720" w:footer="720" w:gutter="0"/>
          <w:cols w:space="720"/>
          <w:docGrid w:linePitch="360"/>
        </w:sectPr>
      </w:pPr>
    </w:p>
    <w:p w:rsidR="00D35CE2" w:rsidRDefault="00D35CE2" w:rsidP="00D35CE2">
      <w:pPr>
        <w:pStyle w:val="Heading1"/>
        <w:numPr>
          <w:ilvl w:val="0"/>
          <w:numId w:val="0"/>
        </w:numPr>
        <w:ind w:left="806" w:hanging="806"/>
      </w:pPr>
      <w:bookmarkStart w:id="60" w:name="_Toc343007957"/>
      <w:r>
        <w:t>APPENDIX C – SENSITIVITY ANALYSIS FOR BRODIFACOUM MODEL</w:t>
      </w:r>
      <w:bookmarkEnd w:id="60"/>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17"/>
        <w:gridCol w:w="1245"/>
        <w:gridCol w:w="1245"/>
        <w:gridCol w:w="1690"/>
        <w:gridCol w:w="1536"/>
        <w:gridCol w:w="1543"/>
      </w:tblGrid>
      <w:tr w:rsidR="00D35CE2" w:rsidRPr="00870922" w:rsidTr="00B06B2D">
        <w:trPr>
          <w:tblHeader/>
        </w:trPr>
        <w:tc>
          <w:tcPr>
            <w:tcW w:w="2317"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Varied Parameter</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Value</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Units</w:t>
            </w:r>
          </w:p>
        </w:tc>
        <w:tc>
          <w:tcPr>
            <w:tcW w:w="1690"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Mean Total Ingested Dose (mg ai/kg bw)</w:t>
            </w:r>
          </w:p>
        </w:tc>
        <w:tc>
          <w:tcPr>
            <w:tcW w:w="1536"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Proportion Dead Gulls</w:t>
            </w:r>
          </w:p>
        </w:tc>
        <w:tc>
          <w:tcPr>
            <w:tcW w:w="1543" w:type="dxa"/>
            <w:tcBorders>
              <w:bottom w:val="single" w:sz="12" w:space="0" w:color="auto"/>
            </w:tcBorders>
            <w:vAlign w:val="center"/>
          </w:tcPr>
          <w:p w:rsidR="00D35CE2" w:rsidRPr="00870922" w:rsidRDefault="00D35CE2" w:rsidP="001E621F">
            <w:pPr>
              <w:jc w:val="center"/>
              <w:rPr>
                <w:rFonts w:cs="Times New Roman"/>
                <w:b/>
                <w:sz w:val="24"/>
                <w:szCs w:val="24"/>
              </w:rPr>
            </w:pPr>
            <w:r w:rsidRPr="00870922">
              <w:rPr>
                <w:rFonts w:cs="Times New Roman"/>
                <w:b/>
                <w:sz w:val="24"/>
                <w:szCs w:val="24"/>
              </w:rPr>
              <w:t xml:space="preserve">Number of Dead </w:t>
            </w:r>
            <w:r w:rsidR="001E621F">
              <w:rPr>
                <w:rFonts w:cs="Times New Roman"/>
                <w:b/>
                <w:sz w:val="24"/>
                <w:szCs w:val="24"/>
              </w:rPr>
              <w:t>Gull</w:t>
            </w:r>
            <w:r w:rsidR="001E621F" w:rsidRPr="00870922">
              <w:rPr>
                <w:rFonts w:cs="Times New Roman"/>
                <w:b/>
                <w:sz w:val="24"/>
                <w:szCs w:val="24"/>
              </w:rPr>
              <w:t xml:space="preserve">s </w:t>
            </w:r>
            <w:r w:rsidRPr="00870922">
              <w:rPr>
                <w:rFonts w:cs="Times New Roman"/>
                <w:b/>
                <w:sz w:val="24"/>
                <w:szCs w:val="24"/>
              </w:rPr>
              <w:t xml:space="preserve">(#/11,000 </w:t>
            </w:r>
            <w:r w:rsidR="001E621F">
              <w:rPr>
                <w:rFonts w:cs="Times New Roman"/>
                <w:b/>
                <w:sz w:val="24"/>
                <w:szCs w:val="24"/>
              </w:rPr>
              <w:t>Gull</w:t>
            </w:r>
            <w:r w:rsidR="001E621F" w:rsidRPr="00870922">
              <w:rPr>
                <w:rFonts w:cs="Times New Roman"/>
                <w:b/>
                <w:sz w:val="24"/>
                <w:szCs w:val="24"/>
              </w:rPr>
              <w:t>s</w:t>
            </w:r>
            <w:r w:rsidRPr="00870922">
              <w:rPr>
                <w:rFonts w:cs="Times New Roman"/>
                <w:b/>
                <w:sz w:val="24"/>
                <w:szCs w:val="24"/>
              </w:rPr>
              <w:t>)</w:t>
            </w:r>
          </w:p>
        </w:tc>
      </w:tr>
      <w:tr w:rsidR="00B06B2D" w:rsidRPr="00870922" w:rsidTr="00B06B2D">
        <w:trPr>
          <w:trHeight w:val="315"/>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0.244</w:t>
            </w:r>
          </w:p>
        </w:tc>
        <w:tc>
          <w:tcPr>
            <w:tcW w:w="1536"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0.070</w:t>
            </w:r>
          </w:p>
        </w:tc>
        <w:tc>
          <w:tcPr>
            <w:tcW w:w="1543"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771</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0.288</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0.080</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880</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0.316</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0.0852</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936</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0.33</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0.0878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966</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987</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0.344</w:t>
            </w:r>
          </w:p>
        </w:tc>
        <w:tc>
          <w:tcPr>
            <w:tcW w:w="1536"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0.0904</w:t>
            </w:r>
          </w:p>
        </w:tc>
        <w:tc>
          <w:tcPr>
            <w:tcW w:w="1543" w:type="dxa"/>
            <w:tcBorders>
              <w:top w:val="single" w:sz="4"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993</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0.346</w:t>
            </w:r>
          </w:p>
        </w:tc>
        <w:tc>
          <w:tcPr>
            <w:tcW w:w="1536"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0.0906</w:t>
            </w:r>
          </w:p>
        </w:tc>
        <w:tc>
          <w:tcPr>
            <w:tcW w:w="1543"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997</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0.33</w:t>
            </w:r>
          </w:p>
        </w:tc>
        <w:tc>
          <w:tcPr>
            <w:tcW w:w="1536"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0.088</w:t>
            </w:r>
          </w:p>
        </w:tc>
        <w:tc>
          <w:tcPr>
            <w:tcW w:w="1543" w:type="dxa"/>
            <w:tcBorders>
              <w:top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967</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12</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21</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w:t>
            </w:r>
          </w:p>
        </w:tc>
        <w:tc>
          <w:tcPr>
            <w:tcW w:w="1536"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0.090</w:t>
            </w:r>
          </w:p>
        </w:tc>
        <w:tc>
          <w:tcPr>
            <w:tcW w:w="1543" w:type="dxa"/>
            <w:tcBorders>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992</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0.032</w:t>
            </w:r>
          </w:p>
        </w:tc>
        <w:tc>
          <w:tcPr>
            <w:tcW w:w="1536"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0.0144</w:t>
            </w:r>
          </w:p>
        </w:tc>
        <w:tc>
          <w:tcPr>
            <w:tcW w:w="1543" w:type="dxa"/>
            <w:tcBorders>
              <w:top w:val="single" w:sz="12" w:space="0" w:color="auto"/>
              <w:bottom w:val="single" w:sz="4"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158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12" w:space="0" w:color="auto"/>
            </w:tcBorders>
            <w:noWrap/>
            <w:hideMark/>
          </w:tcPr>
          <w:p w:rsidR="00B06B2D" w:rsidRPr="00B06B2D" w:rsidRDefault="00B06B2D" w:rsidP="001A513E">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0.865</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0.226</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2480</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0.168</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0.0443</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486</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0.0663</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0.0177</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194</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0.36</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0.0914</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1005</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980</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Time to Significant Rainfall Event After 2nd Application</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0.20</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0.0636</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698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28</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117</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0.424</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0.0976</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1073</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Time to Removal of Bait Following Significant Rainfall Event</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0.178</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0.058</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638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7</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0.23</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0.069</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756</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2.71 (0.7)</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mg/kg ww</w:t>
            </w: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0.091</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996</w:t>
            </w:r>
          </w:p>
        </w:tc>
      </w:tr>
      <w:tr w:rsidR="00B06B2D" w:rsidRPr="00870922" w:rsidTr="00B06B2D">
        <w:trPr>
          <w:trHeight w:val="315"/>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4.9 (1.26)</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mg/kg ww</w:t>
            </w: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00"/>
        </w:trPr>
        <w:tc>
          <w:tcPr>
            <w:tcW w:w="2317" w:type="dxa"/>
            <w:vMerge w:val="restart"/>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Daily Probability of Consuming Mice Prior to Brodifacoum Application</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982</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0.342</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0.0898</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988</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0.34</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0.090</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rFonts w:cs="Times New Roman"/>
                <w:sz w:val="24"/>
                <w:szCs w:val="24"/>
              </w:rPr>
              <w:t>994</w:t>
            </w:r>
          </w:p>
        </w:tc>
      </w:tr>
      <w:tr w:rsidR="00B06B2D" w:rsidRPr="00870922" w:rsidTr="00B06B2D">
        <w:trPr>
          <w:trHeight w:val="672"/>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Daily Probability of Consuming Pellets Following Brodifacoum Application</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0.22</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0.085</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931</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0.342</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0.0898</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4F0A41">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Mice</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977</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991</w:t>
            </w:r>
          </w:p>
        </w:tc>
      </w:tr>
      <w:tr w:rsidR="00B06B2D" w:rsidRPr="00870922" w:rsidTr="00B06B2D">
        <w:trPr>
          <w:trHeight w:val="315"/>
        </w:trPr>
        <w:tc>
          <w:tcPr>
            <w:tcW w:w="2317" w:type="dxa"/>
            <w:vMerge/>
            <w:tcBorders>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0.342</w:t>
            </w:r>
          </w:p>
        </w:tc>
        <w:tc>
          <w:tcPr>
            <w:tcW w:w="1536"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0.0898</w:t>
            </w:r>
          </w:p>
        </w:tc>
        <w:tc>
          <w:tcPr>
            <w:tcW w:w="1543" w:type="dxa"/>
            <w:tcBorders>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4F0A41">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0.092</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1011</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0.31</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990</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restart"/>
            <w:tcBorders>
              <w:top w:val="single" w:sz="12"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0.87</w:t>
            </w:r>
          </w:p>
        </w:tc>
        <w:tc>
          <w:tcPr>
            <w:tcW w:w="1245" w:type="dxa"/>
            <w:tcBorders>
              <w:top w:val="single" w:sz="12"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12"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tcBorders>
              <w:top w:val="single" w:sz="4" w:space="0" w:color="auto"/>
              <w:bottom w:val="single" w:sz="4"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0.935</w:t>
            </w:r>
          </w:p>
        </w:tc>
        <w:tc>
          <w:tcPr>
            <w:tcW w:w="1245" w:type="dxa"/>
            <w:tcBorders>
              <w:top w:val="single" w:sz="4" w:space="0" w:color="auto"/>
              <w:bottom w:val="single" w:sz="4"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0.089</w:t>
            </w:r>
          </w:p>
        </w:tc>
        <w:tc>
          <w:tcPr>
            <w:tcW w:w="1543" w:type="dxa"/>
            <w:tcBorders>
              <w:top w:val="single" w:sz="4" w:space="0" w:color="auto"/>
              <w:bottom w:val="single" w:sz="4"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980</w:t>
            </w:r>
          </w:p>
        </w:tc>
      </w:tr>
      <w:tr w:rsidR="00B06B2D" w:rsidRPr="00870922" w:rsidTr="00B06B2D">
        <w:trPr>
          <w:trHeight w:val="315"/>
        </w:trPr>
        <w:tc>
          <w:tcPr>
            <w:tcW w:w="2317" w:type="dxa"/>
            <w:vMerge/>
            <w:tcBorders>
              <w:top w:val="single" w:sz="4" w:space="0" w:color="auto"/>
              <w:bottom w:val="single" w:sz="12" w:space="0" w:color="auto"/>
            </w:tcBorders>
            <w:vAlign w:val="center"/>
            <w:hideMark/>
          </w:tcPr>
          <w:p w:rsidR="00B06B2D" w:rsidRPr="00870922" w:rsidRDefault="00B06B2D"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4" w:space="0" w:color="auto"/>
              <w:bottom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993</w:t>
            </w:r>
          </w:p>
        </w:tc>
      </w:tr>
      <w:tr w:rsidR="00B06B2D" w:rsidRPr="00870922" w:rsidTr="00B06B2D">
        <w:trPr>
          <w:trHeight w:val="300"/>
        </w:trPr>
        <w:tc>
          <w:tcPr>
            <w:tcW w:w="2317"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0.588</w:t>
            </w:r>
          </w:p>
        </w:tc>
        <w:tc>
          <w:tcPr>
            <w:tcW w:w="1245"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690"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0.090</w:t>
            </w:r>
          </w:p>
        </w:tc>
        <w:tc>
          <w:tcPr>
            <w:tcW w:w="1543" w:type="dxa"/>
            <w:tcBorders>
              <w:top w:val="single" w:sz="12" w:space="0" w:color="auto"/>
            </w:tcBorders>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988</w:t>
            </w:r>
          </w:p>
        </w:tc>
      </w:tr>
      <w:tr w:rsidR="00B06B2D" w:rsidRPr="00870922" w:rsidTr="00B06B2D">
        <w:trPr>
          <w:trHeight w:val="300"/>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2.79</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0.35</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0.055</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600</w:t>
            </w:r>
          </w:p>
        </w:tc>
      </w:tr>
      <w:tr w:rsidR="00B06B2D" w:rsidRPr="00870922" w:rsidTr="00B06B2D">
        <w:trPr>
          <w:trHeight w:val="315"/>
        </w:trPr>
        <w:tc>
          <w:tcPr>
            <w:tcW w:w="2317" w:type="dxa"/>
            <w:vMerge/>
            <w:vAlign w:val="center"/>
            <w:hideMark/>
          </w:tcPr>
          <w:p w:rsidR="00B06B2D" w:rsidRPr="00870922" w:rsidRDefault="00B06B2D" w:rsidP="001A513E">
            <w:pPr>
              <w:rPr>
                <w:rFonts w:eastAsia="Times New Roman" w:cs="Times New Roman"/>
                <w:color w:val="000000"/>
                <w:sz w:val="24"/>
                <w:szCs w:val="24"/>
              </w:rPr>
            </w:pP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45" w:type="dxa"/>
            <w:noWrap/>
            <w:vAlign w:val="center"/>
            <w:hideMark/>
          </w:tcPr>
          <w:p w:rsidR="00B06B2D" w:rsidRPr="00870922" w:rsidRDefault="00B06B2D"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690"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0.34</w:t>
            </w:r>
          </w:p>
        </w:tc>
        <w:tc>
          <w:tcPr>
            <w:tcW w:w="1536"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0.034</w:t>
            </w:r>
          </w:p>
        </w:tc>
        <w:tc>
          <w:tcPr>
            <w:tcW w:w="1543" w:type="dxa"/>
            <w:noWrap/>
            <w:vAlign w:val="center"/>
            <w:hideMark/>
          </w:tcPr>
          <w:p w:rsidR="00B06B2D" w:rsidRPr="00B06B2D" w:rsidRDefault="00B06B2D" w:rsidP="00B06B2D">
            <w:pPr>
              <w:jc w:val="center"/>
              <w:rPr>
                <w:rFonts w:eastAsia="Times New Roman" w:cs="Times New Roman"/>
                <w:color w:val="000000"/>
                <w:sz w:val="24"/>
                <w:szCs w:val="24"/>
              </w:rPr>
            </w:pPr>
            <w:r w:rsidRPr="00B06B2D">
              <w:rPr>
                <w:sz w:val="24"/>
                <w:szCs w:val="24"/>
              </w:rPr>
              <w:t>369</w:t>
            </w:r>
          </w:p>
        </w:tc>
      </w:tr>
    </w:tbl>
    <w:p w:rsidR="002A0B41" w:rsidRDefault="002A0B41" w:rsidP="00D35CE2">
      <w:pPr>
        <w:jc w:val="center"/>
        <w:rPr>
          <w:rFonts w:cs="Times New Roman"/>
          <w:sz w:val="24"/>
        </w:rPr>
        <w:sectPr w:rsidR="002A0B41" w:rsidSect="00D35CE2">
          <w:pgSz w:w="12240" w:h="15840"/>
          <w:pgMar w:top="1440" w:right="1440" w:bottom="1440" w:left="1440" w:header="720" w:footer="720" w:gutter="0"/>
          <w:cols w:space="720"/>
          <w:docGrid w:linePitch="360"/>
        </w:sectPr>
      </w:pPr>
    </w:p>
    <w:p w:rsidR="002A0B41" w:rsidRDefault="002A0B41" w:rsidP="002A0B41">
      <w:pPr>
        <w:pStyle w:val="Heading1"/>
        <w:numPr>
          <w:ilvl w:val="0"/>
          <w:numId w:val="0"/>
        </w:numPr>
        <w:ind w:left="806" w:hanging="806"/>
      </w:pPr>
      <w:bookmarkStart w:id="61" w:name="_Toc343007958"/>
      <w:r>
        <w:t>APPENDIX D – SENSITIVITY ANALYSIS FOR Diphacinone MODEL</w:t>
      </w:r>
      <w:bookmarkEnd w:id="61"/>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56"/>
        <w:gridCol w:w="992"/>
        <w:gridCol w:w="1276"/>
        <w:gridCol w:w="1701"/>
        <w:gridCol w:w="1821"/>
        <w:gridCol w:w="1530"/>
      </w:tblGrid>
      <w:tr w:rsidR="007D0D19" w:rsidRPr="00870922" w:rsidTr="0076253A">
        <w:trPr>
          <w:tblHeader/>
        </w:trPr>
        <w:tc>
          <w:tcPr>
            <w:tcW w:w="225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Varied Parameter</w:t>
            </w:r>
          </w:p>
        </w:tc>
        <w:tc>
          <w:tcPr>
            <w:tcW w:w="992"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Value</w:t>
            </w:r>
          </w:p>
        </w:tc>
        <w:tc>
          <w:tcPr>
            <w:tcW w:w="127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Units</w:t>
            </w:r>
          </w:p>
        </w:tc>
        <w:tc>
          <w:tcPr>
            <w:tcW w:w="170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Mean Total Ingested Dose (mg ai/kg bw)</w:t>
            </w:r>
          </w:p>
        </w:tc>
        <w:tc>
          <w:tcPr>
            <w:tcW w:w="182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Proportion Dead Gulls</w:t>
            </w:r>
          </w:p>
        </w:tc>
        <w:tc>
          <w:tcPr>
            <w:tcW w:w="1530"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Number of Dead Birds (#/11,000 birds)</w:t>
            </w:r>
          </w:p>
        </w:tc>
      </w:tr>
      <w:tr w:rsidR="0076253A" w:rsidRPr="00870922" w:rsidTr="0076253A">
        <w:trPr>
          <w:trHeight w:val="315"/>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5.54</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0.0267</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294</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7.65</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0.0366</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402</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8.92</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0.0448</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493</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9.44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0.0468</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514</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9.68</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9.72</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539</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9.75</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0.0490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539</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9.69</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0.0478</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sz w:val="24"/>
                <w:szCs w:val="24"/>
              </w:rPr>
              <w:t>525</w:t>
            </w:r>
          </w:p>
        </w:tc>
      </w:tr>
      <w:tr w:rsidR="00B06B2D" w:rsidRPr="00870922" w:rsidTr="0076253A">
        <w:trPr>
          <w:trHeight w:val="300"/>
        </w:trPr>
        <w:tc>
          <w:tcPr>
            <w:tcW w:w="2256" w:type="dxa"/>
            <w:vMerge w:val="restart"/>
            <w:tcBorders>
              <w:top w:val="single" w:sz="12" w:space="0" w:color="auto"/>
            </w:tcBorders>
            <w:vAlign w:val="center"/>
            <w:hideMark/>
          </w:tcPr>
          <w:p w:rsidR="00B06B2D" w:rsidRPr="00870922" w:rsidRDefault="00B06B2D" w:rsidP="001A513E">
            <w:pPr>
              <w:rPr>
                <w:rFonts w:eastAsia="Times New Roman" w:cs="Times New Roman"/>
                <w:color w:val="000000"/>
                <w:sz w:val="24"/>
                <w:szCs w:val="24"/>
              </w:rPr>
            </w:pPr>
            <w:r>
              <w:rPr>
                <w:rFonts w:eastAsia="Times New Roman" w:cs="Times New Roman"/>
                <w:color w:val="000000"/>
                <w:sz w:val="24"/>
                <w:szCs w:val="24"/>
              </w:rPr>
              <w:t>Application Rate</w:t>
            </w:r>
          </w:p>
        </w:tc>
        <w:tc>
          <w:tcPr>
            <w:tcW w:w="992"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32</w:t>
            </w:r>
          </w:p>
        </w:tc>
        <w:tc>
          <w:tcPr>
            <w:tcW w:w="1276"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kg bait/ha</w:t>
            </w:r>
          </w:p>
        </w:tc>
        <w:tc>
          <w:tcPr>
            <w:tcW w:w="1701" w:type="dxa"/>
            <w:tcBorders>
              <w:top w:val="single" w:sz="12" w:space="0" w:color="auto"/>
            </w:tcBorders>
            <w:noWrap/>
            <w:vAlign w:val="center"/>
            <w:hideMark/>
          </w:tcPr>
          <w:p w:rsidR="00B06B2D" w:rsidRPr="0076253A" w:rsidRDefault="00B06B2D" w:rsidP="0076253A">
            <w:pPr>
              <w:jc w:val="center"/>
              <w:rPr>
                <w:rFonts w:cs="Times New Roman"/>
                <w:sz w:val="24"/>
                <w:szCs w:val="24"/>
              </w:rPr>
            </w:pPr>
            <w:r w:rsidRPr="0076253A">
              <w:rPr>
                <w:rFonts w:cs="Times New Roman"/>
                <w:sz w:val="24"/>
                <w:szCs w:val="24"/>
              </w:rPr>
              <w:t>9.68</w:t>
            </w:r>
          </w:p>
        </w:tc>
        <w:tc>
          <w:tcPr>
            <w:tcW w:w="182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0.049</w:t>
            </w:r>
          </w:p>
        </w:tc>
        <w:tc>
          <w:tcPr>
            <w:tcW w:w="1530"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538</w:t>
            </w:r>
          </w:p>
        </w:tc>
      </w:tr>
      <w:tr w:rsidR="00B06B2D" w:rsidRPr="00870922" w:rsidTr="0076253A">
        <w:trPr>
          <w:trHeight w:val="300"/>
        </w:trPr>
        <w:tc>
          <w:tcPr>
            <w:tcW w:w="2256" w:type="dxa"/>
            <w:vMerge/>
            <w:vAlign w:val="center"/>
            <w:hideMark/>
          </w:tcPr>
          <w:p w:rsidR="00B06B2D" w:rsidRPr="00870922" w:rsidRDefault="00B06B2D" w:rsidP="001A513E">
            <w:pPr>
              <w:rPr>
                <w:rFonts w:eastAsia="Times New Roman" w:cs="Times New Roman"/>
                <w:color w:val="000000"/>
                <w:sz w:val="24"/>
                <w:szCs w:val="24"/>
              </w:rPr>
            </w:pPr>
          </w:p>
        </w:tc>
        <w:tc>
          <w:tcPr>
            <w:tcW w:w="992"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48</w:t>
            </w:r>
          </w:p>
        </w:tc>
        <w:tc>
          <w:tcPr>
            <w:tcW w:w="1276" w:type="dxa"/>
            <w:tcBorders>
              <w:top w:val="single" w:sz="12" w:space="0" w:color="auto"/>
            </w:tcBorders>
            <w:noWrap/>
            <w:vAlign w:val="center"/>
            <w:hideMark/>
          </w:tcPr>
          <w:p w:rsidR="00B06B2D" w:rsidRPr="00870922" w:rsidRDefault="00B06B2D" w:rsidP="001A513E">
            <w:pPr>
              <w:jc w:val="center"/>
              <w:rPr>
                <w:rFonts w:eastAsia="Times New Roman" w:cs="Times New Roman"/>
                <w:color w:val="000000"/>
                <w:sz w:val="24"/>
                <w:szCs w:val="24"/>
              </w:rPr>
            </w:pPr>
            <w:r>
              <w:rPr>
                <w:rFonts w:eastAsia="Times New Roman" w:cs="Times New Roman"/>
                <w:color w:val="000000"/>
                <w:sz w:val="24"/>
                <w:szCs w:val="24"/>
              </w:rPr>
              <w:t>kg bait/ha</w:t>
            </w:r>
          </w:p>
        </w:tc>
        <w:tc>
          <w:tcPr>
            <w:tcW w:w="170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22.7</w:t>
            </w:r>
          </w:p>
        </w:tc>
        <w:tc>
          <w:tcPr>
            <w:tcW w:w="1821"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0.0876</w:t>
            </w:r>
          </w:p>
        </w:tc>
        <w:tc>
          <w:tcPr>
            <w:tcW w:w="1530" w:type="dxa"/>
            <w:tcBorders>
              <w:top w:val="single" w:sz="12" w:space="0" w:color="auto"/>
            </w:tcBorders>
            <w:noWrap/>
            <w:vAlign w:val="center"/>
            <w:hideMark/>
          </w:tcPr>
          <w:p w:rsidR="00B06B2D" w:rsidRPr="0076253A" w:rsidRDefault="0076253A" w:rsidP="0076253A">
            <w:pPr>
              <w:jc w:val="center"/>
              <w:rPr>
                <w:rFonts w:cs="Times New Roman"/>
                <w:sz w:val="24"/>
                <w:szCs w:val="24"/>
              </w:rPr>
            </w:pPr>
            <w:r w:rsidRPr="0076253A">
              <w:rPr>
                <w:rFonts w:cs="Times New Roman"/>
                <w:sz w:val="24"/>
                <w:szCs w:val="24"/>
              </w:rPr>
              <w:t>963</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12.3</w:t>
            </w:r>
          </w:p>
        </w:tc>
        <w:tc>
          <w:tcPr>
            <w:tcW w:w="1821"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0.0661</w:t>
            </w:r>
          </w:p>
        </w:tc>
        <w:tc>
          <w:tcPr>
            <w:tcW w:w="1530" w:type="dxa"/>
            <w:tcBorders>
              <w:top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726</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12</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0.0490</w:t>
            </w:r>
          </w:p>
        </w:tc>
        <w:tc>
          <w:tcPr>
            <w:tcW w:w="1530" w:type="dxa"/>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21</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9.35</w:t>
            </w:r>
          </w:p>
        </w:tc>
        <w:tc>
          <w:tcPr>
            <w:tcW w:w="1821"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0.0463</w:t>
            </w:r>
          </w:p>
        </w:tc>
        <w:tc>
          <w:tcPr>
            <w:tcW w:w="1530" w:type="dxa"/>
            <w:tcBorders>
              <w:bottom w:val="single" w:sz="12" w:space="0" w:color="auto"/>
            </w:tcBorders>
            <w:noWrap/>
            <w:vAlign w:val="center"/>
            <w:hideMark/>
          </w:tcPr>
          <w:p w:rsidR="0076253A" w:rsidRPr="0076253A" w:rsidRDefault="0076253A" w:rsidP="0076253A">
            <w:pPr>
              <w:spacing w:line="276" w:lineRule="auto"/>
              <w:jc w:val="center"/>
              <w:rPr>
                <w:rFonts w:eastAsia="Times New Roman" w:cs="Times New Roman"/>
                <w:color w:val="000000"/>
                <w:sz w:val="24"/>
                <w:szCs w:val="24"/>
              </w:rPr>
            </w:pPr>
            <w:r w:rsidRPr="0076253A">
              <w:rPr>
                <w:rFonts w:cs="Times New Roman"/>
                <w:color w:val="000000"/>
                <w:sz w:val="24"/>
                <w:szCs w:val="24"/>
              </w:rPr>
              <w:t>510</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0.0689</w:t>
            </w:r>
          </w:p>
        </w:tc>
        <w:tc>
          <w:tcPr>
            <w:tcW w:w="1821"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w:t>
            </w:r>
          </w:p>
        </w:tc>
        <w:tc>
          <w:tcPr>
            <w:tcW w:w="1530" w:type="dxa"/>
            <w:tcBorders>
              <w:top w:val="single" w:sz="12"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2.53</w:t>
            </w:r>
          </w:p>
        </w:tc>
        <w:tc>
          <w:tcPr>
            <w:tcW w:w="1821"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0.000207</w:t>
            </w:r>
          </w:p>
        </w:tc>
        <w:tc>
          <w:tcPr>
            <w:tcW w:w="1530" w:type="dxa"/>
            <w:tcBorders>
              <w:top w:val="single" w:sz="4" w:space="0" w:color="auto"/>
              <w:bottom w:val="single" w:sz="4"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Pr>
                <w:rFonts w:eastAsia="Times New Roman" w:cs="Times New Roman"/>
                <w:color w:val="000000"/>
                <w:sz w:val="24"/>
                <w:szCs w:val="24"/>
              </w:rPr>
              <w:t>3</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0.049</w:t>
            </w:r>
          </w:p>
        </w:tc>
        <w:tc>
          <w:tcPr>
            <w:tcW w:w="1530" w:type="dxa"/>
            <w:tcBorders>
              <w:top w:val="single" w:sz="4" w:space="0" w:color="auto"/>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72.2</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0.366</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4022</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48.4</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0.245</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2691</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24.2</w:t>
            </w:r>
          </w:p>
        </w:tc>
        <w:tc>
          <w:tcPr>
            <w:tcW w:w="1821"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0.122</w:t>
            </w:r>
          </w:p>
        </w:tc>
        <w:tc>
          <w:tcPr>
            <w:tcW w:w="1530" w:type="dxa"/>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1337</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bottom w:val="single" w:sz="12" w:space="0" w:color="auto"/>
            </w:tcBorders>
            <w:noWrap/>
            <w:vAlign w:val="center"/>
            <w:hideMark/>
          </w:tcPr>
          <w:p w:rsidR="0076253A" w:rsidRPr="0076253A" w:rsidRDefault="0076253A" w:rsidP="005C504F">
            <w:pPr>
              <w:spacing w:line="276" w:lineRule="auto"/>
              <w:jc w:val="center"/>
              <w:rPr>
                <w:rFonts w:eastAsia="Times New Roman" w:cs="Times New Roman"/>
                <w:color w:val="000000"/>
                <w:sz w:val="24"/>
                <w:szCs w:val="24"/>
              </w:rPr>
            </w:pPr>
            <w:r w:rsidRPr="0076253A">
              <w:rPr>
                <w:rFonts w:cs="Times New Roman"/>
                <w:color w:val="000000"/>
                <w:sz w:val="24"/>
                <w:szCs w:val="24"/>
              </w:rPr>
              <w:t>540</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4.79</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0.0247</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271</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1.84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0.00927</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101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11.4</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0.0604</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664</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Time to Significant Rainfall Event After 2nd Application</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4</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28</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0.0487</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536</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117</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3.37</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0.00995</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109</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Time to Removal of Bait Following Significant Rainfall Event</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4.5</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12.9</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0.0706</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777</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7</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9.24</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0.0463</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510</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992"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30 (7.5)</w:t>
            </w:r>
          </w:p>
        </w:tc>
        <w:tc>
          <w:tcPr>
            <w:tcW w:w="1276"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mg/kg ww</w:t>
            </w: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51.5 (13)</w:t>
            </w:r>
          </w:p>
        </w:tc>
        <w:tc>
          <w:tcPr>
            <w:tcW w:w="1276" w:type="dxa"/>
            <w:noWrap/>
            <w:vAlign w:val="center"/>
            <w:hideMark/>
          </w:tcPr>
          <w:p w:rsidR="0076253A" w:rsidRDefault="0076253A">
            <w:pPr>
              <w:jc w:val="center"/>
              <w:rPr>
                <w:rFonts w:eastAsia="Times New Roman" w:cs="Times New Roman"/>
                <w:color w:val="000000"/>
                <w:sz w:val="24"/>
                <w:szCs w:val="24"/>
              </w:rPr>
            </w:pPr>
            <w:r w:rsidRPr="00F632FF">
              <w:rPr>
                <w:sz w:val="24"/>
                <w:szCs w:val="24"/>
              </w:rPr>
              <w:t>mg/kg ww</w:t>
            </w: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9.93</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0.0499</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549</w:t>
            </w:r>
          </w:p>
        </w:tc>
      </w:tr>
      <w:tr w:rsidR="0076253A" w:rsidRPr="00870922" w:rsidTr="0076253A">
        <w:trPr>
          <w:trHeight w:val="300"/>
        </w:trPr>
        <w:tc>
          <w:tcPr>
            <w:tcW w:w="2256" w:type="dxa"/>
            <w:vMerge w:val="restart"/>
            <w:vAlign w:val="center"/>
            <w:hideMark/>
          </w:tcPr>
          <w:p w:rsidR="0076253A" w:rsidRDefault="0076253A">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Mice Prior to </w:t>
            </w:r>
            <w:r>
              <w:rPr>
                <w:rFonts w:eastAsia="Times New Roman" w:cs="Times New Roman"/>
                <w:color w:val="000000"/>
                <w:sz w:val="24"/>
                <w:szCs w:val="24"/>
              </w:rPr>
              <w:t>Diphacinone</w:t>
            </w:r>
            <w:r w:rsidRPr="00870922">
              <w:rPr>
                <w:rFonts w:eastAsia="Times New Roman" w:cs="Times New Roman"/>
                <w:color w:val="000000"/>
                <w:sz w:val="24"/>
                <w:szCs w:val="24"/>
              </w:rPr>
              <w:t xml:space="preserve"> Application</w:t>
            </w: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9.69</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0.0487</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536</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9.77</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0.0493</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542</w:t>
            </w:r>
          </w:p>
        </w:tc>
      </w:tr>
      <w:tr w:rsidR="0076253A" w:rsidRPr="00870922" w:rsidTr="0076253A">
        <w:trPr>
          <w:trHeight w:val="535"/>
        </w:trPr>
        <w:tc>
          <w:tcPr>
            <w:tcW w:w="2256" w:type="dxa"/>
            <w:vMerge w:val="restart"/>
            <w:tcBorders>
              <w:top w:val="single" w:sz="12" w:space="0" w:color="auto"/>
              <w:bottom w:val="single" w:sz="4" w:space="0" w:color="auto"/>
            </w:tcBorders>
            <w:vAlign w:val="center"/>
            <w:hideMark/>
          </w:tcPr>
          <w:p w:rsidR="0076253A" w:rsidRDefault="0076253A">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Pellets Following </w:t>
            </w:r>
            <w:r>
              <w:rPr>
                <w:rFonts w:eastAsia="Times New Roman" w:cs="Times New Roman"/>
                <w:color w:val="000000"/>
                <w:sz w:val="24"/>
                <w:szCs w:val="24"/>
              </w:rPr>
              <w:t>Diphacinone</w:t>
            </w:r>
            <w:r w:rsidRPr="00870922">
              <w:rPr>
                <w:rFonts w:eastAsia="Times New Roman" w:cs="Times New Roman"/>
                <w:color w:val="000000"/>
                <w:sz w:val="24"/>
                <w:szCs w:val="24"/>
              </w:rPr>
              <w:t xml:space="preserve"> Application</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0.22</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9.69</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0.0488</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537</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FA7730">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Mice</w:t>
            </w:r>
          </w:p>
        </w:tc>
        <w:tc>
          <w:tcPr>
            <w:tcW w:w="992"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9.62</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528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9.66</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0.0485</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534</w:t>
            </w:r>
          </w:p>
        </w:tc>
      </w:tr>
      <w:tr w:rsidR="0076253A" w:rsidRPr="00870922" w:rsidTr="0076253A">
        <w:trPr>
          <w:trHeight w:val="315"/>
        </w:trPr>
        <w:tc>
          <w:tcPr>
            <w:tcW w:w="2256" w:type="dxa"/>
            <w:vMerge/>
            <w:tcBorders>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FA7730">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8.91</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0.0401</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441</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8.83</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0.0410</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451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restart"/>
            <w:tcBorders>
              <w:top w:val="single" w:sz="12"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992"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Pr>
                <w:rFonts w:eastAsia="Times New Roman" w:cs="Times New Roman"/>
                <w:color w:val="000000"/>
                <w:sz w:val="24"/>
                <w:szCs w:val="24"/>
              </w:rPr>
              <w:t>0</w:t>
            </w:r>
          </w:p>
        </w:tc>
        <w:tc>
          <w:tcPr>
            <w:tcW w:w="1276" w:type="dxa"/>
            <w:tcBorders>
              <w:top w:val="single" w:sz="12"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tcBorders>
              <w:top w:val="single" w:sz="4" w:space="0" w:color="auto"/>
              <w:bottom w:val="single" w:sz="4"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76253A" w:rsidRDefault="0076253A">
            <w:pPr>
              <w:jc w:val="center"/>
              <w:rPr>
                <w:rFonts w:eastAsia="Times New Roman" w:cs="Times New Roman"/>
                <w:color w:val="000000"/>
                <w:sz w:val="24"/>
                <w:szCs w:val="24"/>
              </w:rPr>
            </w:pPr>
            <w:r w:rsidRPr="00870922">
              <w:rPr>
                <w:rFonts w:eastAsia="Times New Roman" w:cs="Times New Roman"/>
                <w:color w:val="000000"/>
                <w:sz w:val="24"/>
                <w:szCs w:val="24"/>
              </w:rPr>
              <w:t>0.</w:t>
            </w:r>
            <w:r>
              <w:rPr>
                <w:rFonts w:eastAsia="Times New Roman" w:cs="Times New Roman"/>
                <w:color w:val="000000"/>
                <w:sz w:val="24"/>
                <w:szCs w:val="24"/>
              </w:rPr>
              <w:t>87</w:t>
            </w:r>
          </w:p>
        </w:tc>
        <w:tc>
          <w:tcPr>
            <w:tcW w:w="1276" w:type="dxa"/>
            <w:tcBorders>
              <w:top w:val="single" w:sz="4" w:space="0" w:color="auto"/>
              <w:bottom w:val="single" w:sz="4"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9.64</w:t>
            </w:r>
          </w:p>
        </w:tc>
        <w:tc>
          <w:tcPr>
            <w:tcW w:w="1821"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0.0483</w:t>
            </w:r>
          </w:p>
        </w:tc>
        <w:tc>
          <w:tcPr>
            <w:tcW w:w="1530" w:type="dxa"/>
            <w:tcBorders>
              <w:top w:val="single" w:sz="4" w:space="0" w:color="auto"/>
              <w:bottom w:val="single" w:sz="4"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531</w:t>
            </w:r>
          </w:p>
        </w:tc>
      </w:tr>
      <w:tr w:rsidR="0076253A" w:rsidRPr="00870922" w:rsidTr="0076253A">
        <w:trPr>
          <w:trHeight w:val="315"/>
        </w:trPr>
        <w:tc>
          <w:tcPr>
            <w:tcW w:w="2256" w:type="dxa"/>
            <w:vMerge/>
            <w:tcBorders>
              <w:top w:val="single" w:sz="4" w:space="0" w:color="auto"/>
              <w:bottom w:val="single" w:sz="12" w:space="0" w:color="auto"/>
            </w:tcBorders>
            <w:vAlign w:val="center"/>
            <w:hideMark/>
          </w:tcPr>
          <w:p w:rsidR="0076253A" w:rsidRPr="00870922" w:rsidRDefault="0076253A"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9.70</w:t>
            </w:r>
          </w:p>
        </w:tc>
        <w:tc>
          <w:tcPr>
            <w:tcW w:w="1821"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4" w:space="0" w:color="auto"/>
              <w:bottom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539</w:t>
            </w:r>
          </w:p>
        </w:tc>
      </w:tr>
      <w:tr w:rsidR="0076253A" w:rsidRPr="00870922" w:rsidTr="0076253A">
        <w:trPr>
          <w:trHeight w:val="300"/>
        </w:trPr>
        <w:tc>
          <w:tcPr>
            <w:tcW w:w="2256" w:type="dxa"/>
            <w:vMerge w:val="restart"/>
            <w:tcBorders>
              <w:top w:val="single" w:sz="12" w:space="0" w:color="auto"/>
            </w:tcBorders>
            <w:vAlign w:val="center"/>
            <w:hideMark/>
          </w:tcPr>
          <w:p w:rsidR="0076253A" w:rsidRPr="00870922" w:rsidRDefault="0076253A"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992" w:type="dxa"/>
            <w:tcBorders>
              <w:top w:val="single" w:sz="12" w:space="0" w:color="auto"/>
            </w:tcBorders>
            <w:noWrap/>
            <w:vAlign w:val="center"/>
            <w:hideMark/>
          </w:tcPr>
          <w:p w:rsidR="0076253A" w:rsidRDefault="0076253A">
            <w:pPr>
              <w:jc w:val="center"/>
              <w:rPr>
                <w:rFonts w:eastAsia="Times New Roman" w:cs="Times New Roman"/>
                <w:color w:val="000000"/>
                <w:sz w:val="24"/>
                <w:szCs w:val="24"/>
              </w:rPr>
            </w:pPr>
            <w:r w:rsidRPr="00F632FF">
              <w:rPr>
                <w:sz w:val="24"/>
                <w:szCs w:val="24"/>
              </w:rPr>
              <w:t>97</w:t>
            </w:r>
          </w:p>
        </w:tc>
        <w:tc>
          <w:tcPr>
            <w:tcW w:w="1276" w:type="dxa"/>
            <w:tcBorders>
              <w:top w:val="single" w:sz="12" w:space="0" w:color="auto"/>
            </w:tcBorders>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70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9.68</w:t>
            </w:r>
          </w:p>
        </w:tc>
        <w:tc>
          <w:tcPr>
            <w:tcW w:w="1821"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0.0490</w:t>
            </w:r>
          </w:p>
        </w:tc>
        <w:tc>
          <w:tcPr>
            <w:tcW w:w="1530" w:type="dxa"/>
            <w:tcBorders>
              <w:top w:val="single" w:sz="12" w:space="0" w:color="auto"/>
            </w:tcBorders>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538</w:t>
            </w:r>
          </w:p>
        </w:tc>
      </w:tr>
      <w:tr w:rsidR="0076253A" w:rsidRPr="00870922" w:rsidTr="0076253A">
        <w:trPr>
          <w:trHeight w:val="300"/>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2014</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9.67</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r>
      <w:tr w:rsidR="0076253A" w:rsidRPr="00870922" w:rsidTr="0076253A">
        <w:trPr>
          <w:trHeight w:val="315"/>
        </w:trPr>
        <w:tc>
          <w:tcPr>
            <w:tcW w:w="2256" w:type="dxa"/>
            <w:vMerge/>
            <w:vAlign w:val="center"/>
            <w:hideMark/>
          </w:tcPr>
          <w:p w:rsidR="0076253A" w:rsidRPr="00870922" w:rsidRDefault="0076253A" w:rsidP="001A513E">
            <w:pPr>
              <w:rPr>
                <w:rFonts w:eastAsia="Times New Roman" w:cs="Times New Roman"/>
                <w:color w:val="000000"/>
                <w:sz w:val="24"/>
                <w:szCs w:val="24"/>
              </w:rPr>
            </w:pPr>
          </w:p>
        </w:tc>
        <w:tc>
          <w:tcPr>
            <w:tcW w:w="992" w:type="dxa"/>
            <w:noWrap/>
            <w:vAlign w:val="center"/>
            <w:hideMark/>
          </w:tcPr>
          <w:p w:rsidR="0076253A" w:rsidRDefault="0076253A">
            <w:pPr>
              <w:jc w:val="center"/>
              <w:rPr>
                <w:rFonts w:eastAsia="Times New Roman" w:cs="Times New Roman"/>
                <w:color w:val="000000"/>
                <w:sz w:val="24"/>
                <w:szCs w:val="24"/>
              </w:rPr>
            </w:pPr>
            <w:r w:rsidRPr="00F632FF">
              <w:rPr>
                <w:sz w:val="24"/>
                <w:szCs w:val="24"/>
              </w:rPr>
              <w:t>3158</w:t>
            </w:r>
          </w:p>
        </w:tc>
        <w:tc>
          <w:tcPr>
            <w:tcW w:w="1276" w:type="dxa"/>
            <w:noWrap/>
            <w:vAlign w:val="center"/>
            <w:hideMark/>
          </w:tcPr>
          <w:p w:rsidR="0076253A" w:rsidRPr="00870922" w:rsidRDefault="0076253A" w:rsidP="001A513E">
            <w:pPr>
              <w:jc w:val="center"/>
              <w:rPr>
                <w:rFonts w:eastAsia="Times New Roman" w:cs="Times New Roman"/>
                <w:color w:val="000000"/>
                <w:sz w:val="24"/>
                <w:szCs w:val="24"/>
              </w:rPr>
            </w:pPr>
            <w:r w:rsidRPr="00870922">
              <w:rPr>
                <w:rFonts w:eastAsia="Times New Roman" w:cs="Times New Roman"/>
                <w:color w:val="000000"/>
                <w:sz w:val="24"/>
                <w:szCs w:val="24"/>
              </w:rPr>
              <w:t>mg/kg bw</w:t>
            </w:r>
          </w:p>
        </w:tc>
        <w:tc>
          <w:tcPr>
            <w:tcW w:w="170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9.72</w:t>
            </w:r>
          </w:p>
        </w:tc>
        <w:tc>
          <w:tcPr>
            <w:tcW w:w="1821"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c>
          <w:tcPr>
            <w:tcW w:w="1530" w:type="dxa"/>
            <w:noWrap/>
            <w:vAlign w:val="center"/>
            <w:hideMark/>
          </w:tcPr>
          <w:p w:rsidR="0076253A" w:rsidRPr="0076253A" w:rsidRDefault="0076253A" w:rsidP="0076253A">
            <w:pPr>
              <w:jc w:val="center"/>
              <w:rPr>
                <w:rFonts w:eastAsia="Times New Roman" w:cs="Times New Roman"/>
                <w:color w:val="000000"/>
                <w:sz w:val="24"/>
                <w:szCs w:val="24"/>
              </w:rPr>
            </w:pPr>
            <w:r w:rsidRPr="0076253A">
              <w:rPr>
                <w:rFonts w:cs="Times New Roman"/>
                <w:color w:val="000000"/>
                <w:sz w:val="24"/>
                <w:szCs w:val="24"/>
              </w:rPr>
              <w:t>0</w:t>
            </w:r>
          </w:p>
        </w:tc>
      </w:tr>
    </w:tbl>
    <w:p w:rsidR="00D35CE2" w:rsidRPr="00870922" w:rsidRDefault="00D35CE2" w:rsidP="00D35CE2">
      <w:pPr>
        <w:jc w:val="center"/>
        <w:rPr>
          <w:rFonts w:cs="Times New Roman"/>
          <w:sz w:val="24"/>
        </w:rPr>
      </w:pPr>
    </w:p>
    <w:p w:rsidR="00BD2BE7" w:rsidRPr="0099279C" w:rsidRDefault="00BD2BE7" w:rsidP="0062089F">
      <w:pPr>
        <w:rPr>
          <w:rFonts w:cs="Times New Roman"/>
          <w:sz w:val="24"/>
          <w:szCs w:val="24"/>
          <w:lang w:val="en-US"/>
        </w:rPr>
      </w:pPr>
    </w:p>
    <w:sectPr w:rsidR="00BD2BE7" w:rsidRPr="0099279C" w:rsidSect="00D35C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381" w:rsidRDefault="00CE3381" w:rsidP="00811DCA">
      <w:pPr>
        <w:spacing w:after="0" w:line="240" w:lineRule="auto"/>
      </w:pPr>
      <w:r>
        <w:separator/>
      </w:r>
    </w:p>
  </w:endnote>
  <w:endnote w:type="continuationSeparator" w:id="0">
    <w:p w:rsidR="00CE3381" w:rsidRDefault="00CE3381" w:rsidP="00811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6F" w:rsidRDefault="00E9636F" w:rsidP="006B35EB">
    <w:pPr>
      <w:pStyle w:val="Source"/>
    </w:pPr>
    <w:proofErr w:type="gramStart"/>
    <w:r>
      <w:rPr>
        <w:rStyle w:val="PageNumber"/>
        <w:sz w:val="22"/>
      </w:rPr>
      <w:t>E.</w:t>
    </w:r>
    <w:proofErr w:type="gramEnd"/>
    <w:r w:rsidR="00447447">
      <w:rPr>
        <w:rStyle w:val="PageNumber"/>
        <w:sz w:val="22"/>
      </w:rPr>
      <w:fldChar w:fldCharType="begin"/>
    </w:r>
    <w:r>
      <w:rPr>
        <w:rStyle w:val="PageNumber"/>
        <w:sz w:val="22"/>
      </w:rPr>
      <w:instrText xml:space="preserve"> PAGE </w:instrText>
    </w:r>
    <w:r w:rsidR="00447447">
      <w:rPr>
        <w:rStyle w:val="PageNumber"/>
        <w:sz w:val="22"/>
      </w:rPr>
      <w:fldChar w:fldCharType="separate"/>
    </w:r>
    <w:r w:rsidR="0076253A">
      <w:rPr>
        <w:rStyle w:val="PageNumber"/>
        <w:noProof/>
        <w:sz w:val="22"/>
      </w:rPr>
      <w:t>1</w:t>
    </w:r>
    <w:r w:rsidR="00447447">
      <w:rPr>
        <w:rStyle w:val="PageNumber"/>
        <w:sz w:val="22"/>
      </w:rPr>
      <w:fldChar w:fldCharType="end"/>
    </w:r>
    <w:r>
      <w:rPr>
        <w:sz w:val="28"/>
      </w:rPr>
      <w:t xml:space="preserve"> </w:t>
    </w:r>
    <w:r>
      <w:rPr>
        <w:sz w:val="28"/>
      </w:rPr>
      <w:tab/>
    </w:r>
    <w:r w:rsidR="00CE3381">
      <w:fldChar w:fldCharType="begin"/>
    </w:r>
    <w:r w:rsidR="00CE3381">
      <w:instrText xml:space="preserve">userinitials \* Lower \* Mergeformat </w:instrText>
    </w:r>
    <w:r w:rsidR="00CE3381">
      <w:fldChar w:fldCharType="separate"/>
    </w:r>
    <w:r>
      <w:rPr>
        <w:noProof/>
      </w:rPr>
      <w:t>int</w:t>
    </w:r>
    <w:r w:rsidR="00CE3381">
      <w:rPr>
        <w:noProof/>
      </w:rPr>
      <w:fldChar w:fldCharType="end"/>
    </w:r>
    <w:r>
      <w:t xml:space="preserve"> </w:t>
    </w:r>
    <w:r w:rsidR="00CE3381">
      <w:fldChar w:fldCharType="begin"/>
    </w:r>
    <w:r w:rsidR="00CE3381">
      <w:instrText xml:space="preserve">filename \* Lower\p \* Mergeformat </w:instrText>
    </w:r>
    <w:r w:rsidR="00CE3381">
      <w:fldChar w:fldCharType="separate"/>
    </w:r>
    <w:r>
      <w:rPr>
        <w:noProof/>
      </w:rPr>
      <w:t>c:\users\colleen greer\desktop\farallon islands\SFI_risk of brodifacoum and diphacinone to western gulls_082712.docx</w:t>
    </w:r>
    <w:r w:rsidR="00CE3381">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6F" w:rsidRPr="00811DCA" w:rsidRDefault="00E9636F">
    <w:pPr>
      <w:pStyle w:val="Footer"/>
      <w:jc w:val="right"/>
      <w:rPr>
        <w:i/>
        <w:sz w:val="18"/>
        <w:szCs w:val="18"/>
      </w:rPr>
    </w:pPr>
    <w:r w:rsidRPr="00811DCA">
      <w:rPr>
        <w:i/>
        <w:sz w:val="18"/>
        <w:szCs w:val="18"/>
      </w:rPr>
      <w:t xml:space="preserve">Page </w:t>
    </w:r>
    <w:sdt>
      <w:sdtPr>
        <w:rPr>
          <w:i/>
          <w:sz w:val="18"/>
          <w:szCs w:val="18"/>
        </w:rPr>
        <w:id w:val="25676907"/>
        <w:docPartObj>
          <w:docPartGallery w:val="Page Numbers (Bottom of Page)"/>
          <w:docPartUnique/>
        </w:docPartObj>
      </w:sdtPr>
      <w:sdtEndPr/>
      <w:sdtContent>
        <w:r w:rsidR="00447447" w:rsidRPr="00811DCA">
          <w:rPr>
            <w:i/>
            <w:sz w:val="18"/>
            <w:szCs w:val="18"/>
          </w:rPr>
          <w:fldChar w:fldCharType="begin"/>
        </w:r>
        <w:r w:rsidRPr="00811DCA">
          <w:rPr>
            <w:i/>
            <w:sz w:val="18"/>
            <w:szCs w:val="18"/>
          </w:rPr>
          <w:instrText xml:space="preserve"> PAGE   \* MERGEFORMAT </w:instrText>
        </w:r>
        <w:r w:rsidR="00447447" w:rsidRPr="00811DCA">
          <w:rPr>
            <w:i/>
            <w:sz w:val="18"/>
            <w:szCs w:val="18"/>
          </w:rPr>
          <w:fldChar w:fldCharType="separate"/>
        </w:r>
        <w:r w:rsidR="000B247C">
          <w:rPr>
            <w:i/>
            <w:noProof/>
            <w:sz w:val="18"/>
            <w:szCs w:val="18"/>
          </w:rPr>
          <w:t>3</w:t>
        </w:r>
        <w:r w:rsidR="00447447" w:rsidRPr="00811DCA">
          <w:rPr>
            <w:i/>
            <w:sz w:val="18"/>
            <w:szCs w:val="18"/>
          </w:rPr>
          <w:fldChar w:fldCharType="end"/>
        </w:r>
      </w:sdtContent>
    </w:sdt>
  </w:p>
  <w:p w:rsidR="00E9636F" w:rsidRDefault="00E963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BBB" w:rsidRPr="00811DCA" w:rsidRDefault="00224BBB" w:rsidP="00224BBB">
    <w:pPr>
      <w:pStyle w:val="Footer"/>
      <w:ind w:left="360"/>
      <w:jc w:val="right"/>
      <w:rPr>
        <w:i/>
        <w:sz w:val="18"/>
        <w:szCs w:val="18"/>
      </w:rPr>
    </w:pPr>
    <w:r w:rsidRPr="00811DCA">
      <w:rPr>
        <w:i/>
        <w:sz w:val="18"/>
        <w:szCs w:val="18"/>
      </w:rPr>
      <w:t xml:space="preserve">Page </w:t>
    </w:r>
    <w:r w:rsidRPr="00224BBB">
      <w:rPr>
        <w:i/>
        <w:sz w:val="18"/>
        <w:szCs w:val="18"/>
      </w:rPr>
      <w:fldChar w:fldCharType="begin"/>
    </w:r>
    <w:r w:rsidRPr="00224BBB">
      <w:rPr>
        <w:i/>
        <w:sz w:val="18"/>
        <w:szCs w:val="18"/>
      </w:rPr>
      <w:instrText xml:space="preserve"> PAGE   \* MERGEFORMAT </w:instrText>
    </w:r>
    <w:r w:rsidRPr="00224BBB">
      <w:rPr>
        <w:i/>
        <w:sz w:val="18"/>
        <w:szCs w:val="18"/>
      </w:rPr>
      <w:fldChar w:fldCharType="separate"/>
    </w:r>
    <w:r w:rsidR="000B247C">
      <w:rPr>
        <w:i/>
        <w:noProof/>
        <w:sz w:val="18"/>
        <w:szCs w:val="18"/>
      </w:rPr>
      <w:t>4</w:t>
    </w:r>
    <w:r w:rsidRPr="00224BBB">
      <w:rPr>
        <w:i/>
        <w:sz w:val="18"/>
        <w:szCs w:val="18"/>
      </w:rPr>
      <w:fldChar w:fldCharType="end"/>
    </w:r>
  </w:p>
  <w:p w:rsidR="00224BBB" w:rsidRDefault="00224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381" w:rsidRDefault="00CE3381" w:rsidP="00811DCA">
      <w:pPr>
        <w:spacing w:after="0" w:line="240" w:lineRule="auto"/>
      </w:pPr>
      <w:r>
        <w:separator/>
      </w:r>
    </w:p>
  </w:footnote>
  <w:footnote w:type="continuationSeparator" w:id="0">
    <w:p w:rsidR="00CE3381" w:rsidRDefault="00CE3381" w:rsidP="00811DCA">
      <w:pPr>
        <w:spacing w:after="0" w:line="240" w:lineRule="auto"/>
      </w:pPr>
      <w:r>
        <w:continuationSeparator/>
      </w:r>
    </w:p>
  </w:footnote>
  <w:footnote w:id="1">
    <w:p w:rsidR="00E9636F" w:rsidRPr="00811472" w:rsidRDefault="00E9636F" w:rsidP="00DE7506">
      <w:pPr>
        <w:pStyle w:val="FootnoteText"/>
        <w:rPr>
          <w:lang w:val="en-US"/>
        </w:rPr>
      </w:pPr>
      <w:r>
        <w:rPr>
          <w:rStyle w:val="FootnoteReference"/>
        </w:rPr>
        <w:footnoteRef/>
      </w:r>
      <w:r>
        <w:t xml:space="preserve"> </w:t>
      </w:r>
      <w:r>
        <w:rPr>
          <w:lang w:val="en-US"/>
        </w:rPr>
        <w:t>Future model simulations may consider January-February rainfall patterns and additional periods of time to the first significant rainfall event -</w:t>
      </w:r>
      <w:r w:rsidRPr="00D101BF">
        <w:t xml:space="preserve"> </w:t>
      </w:r>
      <w:r>
        <w:t>as January-February rainfall historically encompasses the majority of the annual winter rainfall on the island.</w:t>
      </w:r>
    </w:p>
    <w:p w:rsidR="00E9636F" w:rsidRPr="00811472" w:rsidRDefault="00E9636F">
      <w:pPr>
        <w:pStyle w:val="FootnoteText"/>
        <w:rPr>
          <w:lang w:val="en-US"/>
        </w:rPr>
      </w:pPr>
    </w:p>
  </w:footnote>
  <w:footnote w:id="2">
    <w:p w:rsidR="00E9636F" w:rsidRPr="00E60F11" w:rsidRDefault="00E9636F">
      <w:pPr>
        <w:pStyle w:val="FootnoteText"/>
        <w:rPr>
          <w:lang w:val="en-US"/>
        </w:rPr>
      </w:pPr>
      <w:r>
        <w:rPr>
          <w:rStyle w:val="FootnoteReference"/>
        </w:rPr>
        <w:footnoteRef/>
      </w:r>
      <w:r>
        <w:t xml:space="preserve"> </w:t>
      </w:r>
      <w:r>
        <w:rPr>
          <w:lang w:val="en-US"/>
        </w:rPr>
        <w:t>The inputs chosen for the model stability analysis are unimportant in determining how many simulations are required to ensure a stable output (i.e., a consistent answer). Thus, readers should not interpret the inputs chosen for this analysis as being in any way relevant to the actual analyses of risk to western gulls. For example, in the actual analyses of risk to western gulls, we varied hazing success from 75 to 98% and application dates from November 1 to December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6F" w:rsidRDefault="00E9636F" w:rsidP="006B35EB">
    <w:pPr>
      <w:pStyle w:val="ReportTitleSmallHeader"/>
      <w:rPr>
        <w:bCs/>
      </w:rPr>
    </w:pPr>
    <w:r>
      <w:rPr>
        <w:noProof/>
      </w:rPr>
      <w:drawing>
        <wp:anchor distT="0" distB="0" distL="114300" distR="114300" simplePos="0" relativeHeight="251663360"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8" name="Picture 4"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stantec_colo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118745"/>
                  </a:xfrm>
                  <a:prstGeom prst="rect">
                    <a:avLst/>
                  </a:prstGeom>
                  <a:noFill/>
                </pic:spPr>
              </pic:pic>
            </a:graphicData>
          </a:graphic>
        </wp:anchor>
      </w:drawing>
    </w:r>
    <w:r>
      <w:rPr>
        <w:noProof/>
      </w:rPr>
      <w:drawing>
        <wp:anchor distT="0" distB="0" distL="114300" distR="114300" simplePos="0" relativeHeight="251660288"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7" name="Picture 1"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tantec_colo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118745"/>
                  </a:xfrm>
                  <a:prstGeom prst="rect">
                    <a:avLst/>
                  </a:prstGeom>
                  <a:noFill/>
                </pic:spPr>
              </pic:pic>
            </a:graphicData>
          </a:graphic>
        </wp:anchor>
      </w:drawing>
    </w:r>
    <w:r w:rsidR="00447447">
      <w:fldChar w:fldCharType="begin"/>
    </w:r>
    <w:r>
      <w:instrText xml:space="preserve"> REF "ReportTitle"  \* UPPER </w:instrText>
    </w:r>
    <w:r w:rsidR="00447447">
      <w:fldChar w:fldCharType="separate"/>
    </w:r>
    <w:r w:rsidRPr="0099279C">
      <w:rPr>
        <w:rFonts w:ascii="Times New Roman" w:hAnsi="Times New Roman" w:cs="Times New Roman"/>
        <w:sz w:val="28"/>
        <w:szCs w:val="28"/>
      </w:rPr>
      <w:t xml:space="preserve">AVIAN RISK ASSESSMENT </w:t>
    </w:r>
    <w:r w:rsidR="00447447">
      <w:rPr>
        <w:rFonts w:ascii="Times New Roman" w:hAnsi="Times New Roman" w:cs="Times New Roman"/>
        <w:sz w:val="28"/>
        <w:szCs w:val="28"/>
      </w:rPr>
      <w:fldChar w:fldCharType="end"/>
    </w:r>
  </w:p>
  <w:p w:rsidR="00E9636F" w:rsidRDefault="00E9636F" w:rsidP="006B35EB">
    <w:pPr>
      <w:pStyle w:val="ChapterHeader"/>
    </w:pPr>
    <w:r>
      <w:rPr>
        <w:noProof/>
      </w:rPr>
      <w:t>EXECUTIVE SUMMARY</w:t>
    </w:r>
    <w:r>
      <w:t xml:space="preserve"> </w:t>
    </w:r>
  </w:p>
  <w:p w:rsidR="00E9636F" w:rsidRDefault="00CE3381" w:rsidP="006B35EB">
    <w:pPr>
      <w:pStyle w:val="DateHeader"/>
    </w:pPr>
    <w:r>
      <w:fldChar w:fldCharType="begin"/>
    </w:r>
    <w:r>
      <w:instrText xml:space="preserve"> CREATEDATE \@ "MMMM d, yyyy" </w:instrText>
    </w:r>
    <w:r>
      <w:fldChar w:fldCharType="separate"/>
    </w:r>
    <w:r w:rsidR="00E9636F">
      <w:rPr>
        <w:noProof/>
      </w:rPr>
      <w:t>September 14, 2012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6F" w:rsidRPr="0099279C" w:rsidRDefault="00E9636F" w:rsidP="0099279C">
    <w:pPr>
      <w:spacing w:after="0" w:line="240" w:lineRule="auto"/>
      <w:rPr>
        <w:rFonts w:cs="Times New Roman"/>
        <w:sz w:val="20"/>
        <w:szCs w:val="20"/>
      </w:rPr>
    </w:pPr>
    <w:r w:rsidRPr="0099279C">
      <w:rPr>
        <w:rFonts w:cs="Times New Roman"/>
        <w:sz w:val="20"/>
        <w:szCs w:val="20"/>
      </w:rPr>
      <w:t>Risk A</w:t>
    </w:r>
    <w:r>
      <w:rPr>
        <w:rFonts w:cs="Times New Roman"/>
        <w:sz w:val="20"/>
        <w:szCs w:val="20"/>
      </w:rPr>
      <w:t>ssessment</w:t>
    </w:r>
    <w:r w:rsidRPr="0099279C">
      <w:rPr>
        <w:rFonts w:cs="Times New Roman"/>
        <w:sz w:val="20"/>
        <w:szCs w:val="20"/>
      </w:rPr>
      <w:t xml:space="preserve"> for Western Gull </w:t>
    </w:r>
    <w:r>
      <w:rPr>
        <w:rFonts w:cs="Times New Roman"/>
        <w:sz w:val="20"/>
        <w:szCs w:val="20"/>
      </w:rPr>
      <w:t>Exposure</w:t>
    </w:r>
    <w:r w:rsidRPr="0099279C">
      <w:rPr>
        <w:rFonts w:cs="Times New Roman"/>
        <w:sz w:val="20"/>
        <w:szCs w:val="20"/>
      </w:rPr>
      <w:t xml:space="preserve"> to Brodifacoum </w:t>
    </w:r>
    <w:r>
      <w:rPr>
        <w:rFonts w:cs="Times New Roman"/>
        <w:sz w:val="20"/>
        <w:szCs w:val="20"/>
      </w:rPr>
      <w:t xml:space="preserve">or Diphacinone </w:t>
    </w:r>
    <w:r w:rsidRPr="0099279C">
      <w:rPr>
        <w:rFonts w:cs="Times New Roman"/>
        <w:sz w:val="20"/>
        <w:szCs w:val="20"/>
      </w:rPr>
      <w:t xml:space="preserve">on the South Farallon Islands </w:t>
    </w:r>
  </w:p>
  <w:p w:rsidR="00E9636F" w:rsidRPr="0099279C" w:rsidRDefault="00447447" w:rsidP="006B35EB">
    <w:pPr>
      <w:pStyle w:val="DateHeader"/>
      <w:rPr>
        <w:rFonts w:ascii="Times New Roman" w:hAnsi="Times New Roman" w:cs="Times New Roman"/>
        <w:sz w:val="20"/>
      </w:rPr>
    </w:pPr>
    <w:r w:rsidRPr="0099279C">
      <w:rPr>
        <w:rFonts w:ascii="Times New Roman" w:hAnsi="Times New Roman" w:cs="Times New Roman"/>
        <w:sz w:val="20"/>
      </w:rPr>
      <w:fldChar w:fldCharType="begin"/>
    </w:r>
    <w:r w:rsidR="00E9636F" w:rsidRPr="0099279C">
      <w:rPr>
        <w:rFonts w:ascii="Times New Roman" w:hAnsi="Times New Roman" w:cs="Times New Roman"/>
        <w:sz w:val="20"/>
      </w:rPr>
      <w:instrText xml:space="preserve"> CREATEDATE \@ "MMMM d, yyyy" </w:instrText>
    </w:r>
    <w:r w:rsidRPr="0099279C">
      <w:rPr>
        <w:rFonts w:ascii="Times New Roman" w:hAnsi="Times New Roman" w:cs="Times New Roman"/>
        <w:sz w:val="20"/>
      </w:rPr>
      <w:fldChar w:fldCharType="separate"/>
    </w:r>
    <w:r w:rsidR="00E9636F">
      <w:rPr>
        <w:rFonts w:ascii="Times New Roman" w:hAnsi="Times New Roman" w:cs="Times New Roman"/>
        <w:noProof/>
        <w:sz w:val="20"/>
      </w:rPr>
      <w:t>December 10, 2012</w:t>
    </w:r>
    <w:r w:rsidRPr="0099279C">
      <w:rPr>
        <w:rFonts w:ascii="Times New Roman" w:hAnsi="Times New Roman" w:cs="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E41"/>
    <w:multiLevelType w:val="hybridMultilevel"/>
    <w:tmpl w:val="0AA24DE4"/>
    <w:lvl w:ilvl="0" w:tplc="2A02165A">
      <w:start w:val="1"/>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09699D"/>
    <w:multiLevelType w:val="hybridMultilevel"/>
    <w:tmpl w:val="D8000624"/>
    <w:lvl w:ilvl="0" w:tplc="1CC89762">
      <w:start w:val="3"/>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2AA282F"/>
    <w:multiLevelType w:val="hybridMultilevel"/>
    <w:tmpl w:val="777442A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51806"/>
    <w:multiLevelType w:val="hybridMultilevel"/>
    <w:tmpl w:val="BE8A5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C301B"/>
    <w:multiLevelType w:val="hybridMultilevel"/>
    <w:tmpl w:val="DA4C5132"/>
    <w:lvl w:ilvl="0" w:tplc="111CA22C">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C634060"/>
    <w:multiLevelType w:val="hybridMultilevel"/>
    <w:tmpl w:val="EEB2AA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EFE305F"/>
    <w:multiLevelType w:val="hybridMultilevel"/>
    <w:tmpl w:val="0E6A53D6"/>
    <w:lvl w:ilvl="0" w:tplc="5860C1A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53B9B"/>
    <w:multiLevelType w:val="hybridMultilevel"/>
    <w:tmpl w:val="C1AC8F4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22CF1306"/>
    <w:multiLevelType w:val="hybridMultilevel"/>
    <w:tmpl w:val="25D830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3F230A"/>
    <w:multiLevelType w:val="multilevel"/>
    <w:tmpl w:val="B912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A71625"/>
    <w:multiLevelType w:val="hybridMultilevel"/>
    <w:tmpl w:val="881C2E0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nsid w:val="383E6259"/>
    <w:multiLevelType w:val="hybridMultilevel"/>
    <w:tmpl w:val="D2049C4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30283F"/>
    <w:multiLevelType w:val="hybridMultilevel"/>
    <w:tmpl w:val="89FE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F6898"/>
    <w:multiLevelType w:val="multilevel"/>
    <w:tmpl w:val="144AAC60"/>
    <w:lvl w:ilvl="0">
      <w:start w:val="1"/>
      <w:numFmt w:val="decimal"/>
      <w:pStyle w:val="Heading1"/>
      <w:lvlText w:val="%1.0"/>
      <w:lvlJc w:val="left"/>
      <w:pPr>
        <w:tabs>
          <w:tab w:val="num" w:pos="0"/>
        </w:tabs>
        <w:ind w:left="1440" w:hanging="1440"/>
      </w:pPr>
      <w:rPr>
        <w:rFonts w:hint="default"/>
      </w:rPr>
    </w:lvl>
    <w:lvl w:ilvl="1">
      <w:start w:val="1"/>
      <w:numFmt w:val="decimal"/>
      <w:pStyle w:val="Heading2"/>
      <w:lvlText w:val="%1.%2"/>
      <w:lvlJc w:val="left"/>
      <w:pPr>
        <w:tabs>
          <w:tab w:val="num" w:pos="0"/>
        </w:tabs>
        <w:ind w:left="1440" w:hanging="1440"/>
      </w:pPr>
      <w:rPr>
        <w:rFonts w:hint="default"/>
      </w:rPr>
    </w:lvl>
    <w:lvl w:ilvl="2">
      <w:start w:val="1"/>
      <w:numFmt w:val="decimal"/>
      <w:pStyle w:val="Heading3"/>
      <w:lvlText w:val="%1.%2.%3"/>
      <w:lvlJc w:val="left"/>
      <w:pPr>
        <w:tabs>
          <w:tab w:val="num" w:pos="0"/>
        </w:tabs>
        <w:ind w:left="1440" w:hanging="1440"/>
      </w:pPr>
      <w:rPr>
        <w:rFonts w:hint="default"/>
        <w:i/>
      </w:rPr>
    </w:lvl>
    <w:lvl w:ilvl="3">
      <w:start w:val="1"/>
      <w:numFmt w:val="decimal"/>
      <w:pStyle w:val="Heading4"/>
      <w:lvlText w:val="%1.%2.%3.%4"/>
      <w:lvlJc w:val="left"/>
      <w:pPr>
        <w:tabs>
          <w:tab w:val="num" w:pos="264"/>
        </w:tabs>
        <w:ind w:left="1560" w:hanging="1440"/>
      </w:pPr>
      <w:rPr>
        <w:rFonts w:hint="default"/>
        <w:u w:val="single"/>
      </w:rPr>
    </w:lvl>
    <w:lvl w:ilvl="4">
      <w:start w:val="1"/>
      <w:numFmt w:val="decimal"/>
      <w:pStyle w:val="Heading5"/>
      <w:lvlText w:val="%1.%2.%3.%4.%5"/>
      <w:lvlJc w:val="left"/>
      <w:pPr>
        <w:tabs>
          <w:tab w:val="num" w:pos="0"/>
        </w:tabs>
        <w:ind w:left="1440" w:hanging="144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9C4191E"/>
    <w:multiLevelType w:val="hybridMultilevel"/>
    <w:tmpl w:val="AB347ACE"/>
    <w:lvl w:ilvl="0" w:tplc="04090001">
      <w:start w:val="1"/>
      <w:numFmt w:val="decimal"/>
      <w:pStyle w:val="Heading4-Intrinsik"/>
      <w:lvlText w:val="%1.1.1.1"/>
      <w:lvlJc w:val="left"/>
      <w:pPr>
        <w:ind w:left="928" w:hanging="360"/>
      </w:pPr>
      <w:rPr>
        <w:rFonts w:hint="default"/>
        <w:u w:val="single"/>
      </w:rPr>
    </w:lvl>
    <w:lvl w:ilvl="1" w:tplc="04090003" w:tentative="1">
      <w:start w:val="1"/>
      <w:numFmt w:val="lowerLetter"/>
      <w:lvlText w:val="%2."/>
      <w:lvlJc w:val="left"/>
      <w:pPr>
        <w:ind w:left="1648" w:hanging="360"/>
      </w:pPr>
    </w:lvl>
    <w:lvl w:ilvl="2" w:tplc="04090005" w:tentative="1">
      <w:start w:val="1"/>
      <w:numFmt w:val="lowerRoman"/>
      <w:lvlText w:val="%3."/>
      <w:lvlJc w:val="right"/>
      <w:pPr>
        <w:ind w:left="2368" w:hanging="180"/>
      </w:pPr>
    </w:lvl>
    <w:lvl w:ilvl="3" w:tplc="04090001" w:tentative="1">
      <w:start w:val="1"/>
      <w:numFmt w:val="decimal"/>
      <w:lvlText w:val="%4."/>
      <w:lvlJc w:val="left"/>
      <w:pPr>
        <w:ind w:left="3088" w:hanging="360"/>
      </w:pPr>
    </w:lvl>
    <w:lvl w:ilvl="4" w:tplc="04090003" w:tentative="1">
      <w:start w:val="1"/>
      <w:numFmt w:val="lowerLetter"/>
      <w:lvlText w:val="%5."/>
      <w:lvlJc w:val="left"/>
      <w:pPr>
        <w:ind w:left="3808" w:hanging="360"/>
      </w:pPr>
    </w:lvl>
    <w:lvl w:ilvl="5" w:tplc="04090005" w:tentative="1">
      <w:start w:val="1"/>
      <w:numFmt w:val="lowerRoman"/>
      <w:lvlText w:val="%6."/>
      <w:lvlJc w:val="right"/>
      <w:pPr>
        <w:ind w:left="4528" w:hanging="180"/>
      </w:pPr>
    </w:lvl>
    <w:lvl w:ilvl="6" w:tplc="04090001" w:tentative="1">
      <w:start w:val="1"/>
      <w:numFmt w:val="decimal"/>
      <w:lvlText w:val="%7."/>
      <w:lvlJc w:val="left"/>
      <w:pPr>
        <w:ind w:left="5248" w:hanging="360"/>
      </w:pPr>
    </w:lvl>
    <w:lvl w:ilvl="7" w:tplc="04090003" w:tentative="1">
      <w:start w:val="1"/>
      <w:numFmt w:val="lowerLetter"/>
      <w:lvlText w:val="%8."/>
      <w:lvlJc w:val="left"/>
      <w:pPr>
        <w:ind w:left="5968" w:hanging="360"/>
      </w:pPr>
    </w:lvl>
    <w:lvl w:ilvl="8" w:tplc="04090005" w:tentative="1">
      <w:start w:val="1"/>
      <w:numFmt w:val="lowerRoman"/>
      <w:lvlText w:val="%9."/>
      <w:lvlJc w:val="right"/>
      <w:pPr>
        <w:ind w:left="6688" w:hanging="180"/>
      </w:pPr>
    </w:lvl>
  </w:abstractNum>
  <w:abstractNum w:abstractNumId="15">
    <w:nsid w:val="4DF8732E"/>
    <w:multiLevelType w:val="hybridMultilevel"/>
    <w:tmpl w:val="F69A3A9E"/>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abstractNum w:abstractNumId="16">
    <w:nsid w:val="55F01523"/>
    <w:multiLevelType w:val="hybridMultilevel"/>
    <w:tmpl w:val="13FAAFF6"/>
    <w:lvl w:ilvl="0" w:tplc="DB722DCE">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4E4D47"/>
    <w:multiLevelType w:val="hybridMultilevel"/>
    <w:tmpl w:val="A7BA1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9E66B4"/>
    <w:multiLevelType w:val="hybridMultilevel"/>
    <w:tmpl w:val="C5E44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ABE2A56"/>
    <w:multiLevelType w:val="hybridMultilevel"/>
    <w:tmpl w:val="9F7E2976"/>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4"/>
  </w:num>
  <w:num w:numId="18">
    <w:abstractNumId w:val="7"/>
  </w:num>
  <w:num w:numId="19">
    <w:abstractNumId w:val="10"/>
  </w:num>
  <w:num w:numId="20">
    <w:abstractNumId w:val="4"/>
  </w:num>
  <w:num w:numId="21">
    <w:abstractNumId w:val="5"/>
  </w:num>
  <w:num w:numId="22">
    <w:abstractNumId w:val="6"/>
  </w:num>
  <w:num w:numId="23">
    <w:abstractNumId w:val="18"/>
  </w:num>
  <w:num w:numId="24">
    <w:abstractNumId w:val="3"/>
  </w:num>
  <w:num w:numId="25">
    <w:abstractNumId w:val="12"/>
  </w:num>
  <w:num w:numId="26">
    <w:abstractNumId w:val="8"/>
  </w:num>
  <w:num w:numId="27">
    <w:abstractNumId w:val="9"/>
  </w:num>
  <w:num w:numId="28">
    <w:abstractNumId w:val="17"/>
  </w:num>
  <w:num w:numId="29">
    <w:abstractNumId w:val="0"/>
  </w:num>
  <w:num w:numId="30">
    <w:abstractNumId w:val="1"/>
  </w:num>
  <w:num w:numId="31">
    <w:abstractNumId w:val="15"/>
  </w:num>
  <w:num w:numId="32">
    <w:abstractNumId w:val="19"/>
  </w:num>
  <w:num w:numId="33">
    <w:abstractNumId w:val="11"/>
  </w:num>
  <w:num w:numId="34">
    <w:abstractNumId w:val="16"/>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89E"/>
    <w:rsid w:val="0000477D"/>
    <w:rsid w:val="00004C24"/>
    <w:rsid w:val="00004E5E"/>
    <w:rsid w:val="00004FE7"/>
    <w:rsid w:val="00007826"/>
    <w:rsid w:val="00007AB2"/>
    <w:rsid w:val="00012CE2"/>
    <w:rsid w:val="00013619"/>
    <w:rsid w:val="00015D10"/>
    <w:rsid w:val="00020A43"/>
    <w:rsid w:val="00022AB9"/>
    <w:rsid w:val="00023A40"/>
    <w:rsid w:val="00024624"/>
    <w:rsid w:val="00032DFA"/>
    <w:rsid w:val="00034966"/>
    <w:rsid w:val="00034E19"/>
    <w:rsid w:val="0003657A"/>
    <w:rsid w:val="0004069F"/>
    <w:rsid w:val="0004132C"/>
    <w:rsid w:val="00042049"/>
    <w:rsid w:val="00042BA6"/>
    <w:rsid w:val="000456AC"/>
    <w:rsid w:val="00047227"/>
    <w:rsid w:val="000478E0"/>
    <w:rsid w:val="00050795"/>
    <w:rsid w:val="0005147A"/>
    <w:rsid w:val="00052062"/>
    <w:rsid w:val="0005548A"/>
    <w:rsid w:val="000618D7"/>
    <w:rsid w:val="00061AED"/>
    <w:rsid w:val="00064159"/>
    <w:rsid w:val="00066663"/>
    <w:rsid w:val="00070743"/>
    <w:rsid w:val="00071405"/>
    <w:rsid w:val="00071B12"/>
    <w:rsid w:val="00071C3C"/>
    <w:rsid w:val="00072FDD"/>
    <w:rsid w:val="00075C78"/>
    <w:rsid w:val="00076970"/>
    <w:rsid w:val="00076BEE"/>
    <w:rsid w:val="00076ECC"/>
    <w:rsid w:val="000816ED"/>
    <w:rsid w:val="00084626"/>
    <w:rsid w:val="00084D7E"/>
    <w:rsid w:val="00085428"/>
    <w:rsid w:val="00086B90"/>
    <w:rsid w:val="000916B2"/>
    <w:rsid w:val="00092BBC"/>
    <w:rsid w:val="0009554B"/>
    <w:rsid w:val="00095CB7"/>
    <w:rsid w:val="00096F1D"/>
    <w:rsid w:val="000A02DF"/>
    <w:rsid w:val="000A0BFA"/>
    <w:rsid w:val="000A1502"/>
    <w:rsid w:val="000A672B"/>
    <w:rsid w:val="000B0E72"/>
    <w:rsid w:val="000B1F5B"/>
    <w:rsid w:val="000B247C"/>
    <w:rsid w:val="000B48DD"/>
    <w:rsid w:val="000B5A20"/>
    <w:rsid w:val="000C06DB"/>
    <w:rsid w:val="000C22FC"/>
    <w:rsid w:val="000C6FA3"/>
    <w:rsid w:val="000D4342"/>
    <w:rsid w:val="000D489B"/>
    <w:rsid w:val="000D5808"/>
    <w:rsid w:val="000D636C"/>
    <w:rsid w:val="000E2AC9"/>
    <w:rsid w:val="000E7C60"/>
    <w:rsid w:val="000F2948"/>
    <w:rsid w:val="000F2C7B"/>
    <w:rsid w:val="000F2E80"/>
    <w:rsid w:val="000F5480"/>
    <w:rsid w:val="000F56A1"/>
    <w:rsid w:val="00101022"/>
    <w:rsid w:val="001114BE"/>
    <w:rsid w:val="001133C9"/>
    <w:rsid w:val="00115319"/>
    <w:rsid w:val="00122767"/>
    <w:rsid w:val="00133D56"/>
    <w:rsid w:val="00134C44"/>
    <w:rsid w:val="00135850"/>
    <w:rsid w:val="00136704"/>
    <w:rsid w:val="001373EE"/>
    <w:rsid w:val="00137AF4"/>
    <w:rsid w:val="00137E7F"/>
    <w:rsid w:val="0014060A"/>
    <w:rsid w:val="00140D6F"/>
    <w:rsid w:val="00140DB9"/>
    <w:rsid w:val="0014391A"/>
    <w:rsid w:val="00146B17"/>
    <w:rsid w:val="00151F26"/>
    <w:rsid w:val="001523CD"/>
    <w:rsid w:val="001545CB"/>
    <w:rsid w:val="001551ED"/>
    <w:rsid w:val="001569F9"/>
    <w:rsid w:val="001572A2"/>
    <w:rsid w:val="0015788C"/>
    <w:rsid w:val="00157F39"/>
    <w:rsid w:val="00161FCE"/>
    <w:rsid w:val="0016266F"/>
    <w:rsid w:val="00163431"/>
    <w:rsid w:val="0016418F"/>
    <w:rsid w:val="00164193"/>
    <w:rsid w:val="00164A1F"/>
    <w:rsid w:val="001656DB"/>
    <w:rsid w:val="00167C13"/>
    <w:rsid w:val="00167F55"/>
    <w:rsid w:val="00171EFA"/>
    <w:rsid w:val="00176C3F"/>
    <w:rsid w:val="001834B1"/>
    <w:rsid w:val="00185D2D"/>
    <w:rsid w:val="00186BBB"/>
    <w:rsid w:val="00190C69"/>
    <w:rsid w:val="00191A93"/>
    <w:rsid w:val="00192F56"/>
    <w:rsid w:val="001950D7"/>
    <w:rsid w:val="001957FD"/>
    <w:rsid w:val="001979BD"/>
    <w:rsid w:val="001A0381"/>
    <w:rsid w:val="001A10C7"/>
    <w:rsid w:val="001A1CD3"/>
    <w:rsid w:val="001A46B1"/>
    <w:rsid w:val="001A513E"/>
    <w:rsid w:val="001B076E"/>
    <w:rsid w:val="001B1DA2"/>
    <w:rsid w:val="001B282E"/>
    <w:rsid w:val="001B4D74"/>
    <w:rsid w:val="001C4C1E"/>
    <w:rsid w:val="001C5E37"/>
    <w:rsid w:val="001D02DC"/>
    <w:rsid w:val="001D2C27"/>
    <w:rsid w:val="001D3291"/>
    <w:rsid w:val="001D4F82"/>
    <w:rsid w:val="001E15FB"/>
    <w:rsid w:val="001E2F51"/>
    <w:rsid w:val="001E5F23"/>
    <w:rsid w:val="001E621F"/>
    <w:rsid w:val="001E68C7"/>
    <w:rsid w:val="001E7210"/>
    <w:rsid w:val="001F457B"/>
    <w:rsid w:val="001F55DA"/>
    <w:rsid w:val="00201CC8"/>
    <w:rsid w:val="00202AAA"/>
    <w:rsid w:val="00205FD6"/>
    <w:rsid w:val="00206F20"/>
    <w:rsid w:val="00207366"/>
    <w:rsid w:val="00210319"/>
    <w:rsid w:val="0021090E"/>
    <w:rsid w:val="00210E2C"/>
    <w:rsid w:val="00212BD0"/>
    <w:rsid w:val="00212C1D"/>
    <w:rsid w:val="00220780"/>
    <w:rsid w:val="00221807"/>
    <w:rsid w:val="00221E94"/>
    <w:rsid w:val="0022290E"/>
    <w:rsid w:val="00223D66"/>
    <w:rsid w:val="00224BBB"/>
    <w:rsid w:val="00225F8F"/>
    <w:rsid w:val="0023118F"/>
    <w:rsid w:val="00241A21"/>
    <w:rsid w:val="00243527"/>
    <w:rsid w:val="0024408A"/>
    <w:rsid w:val="00245DEB"/>
    <w:rsid w:val="00246365"/>
    <w:rsid w:val="0025248A"/>
    <w:rsid w:val="002533EC"/>
    <w:rsid w:val="002642EC"/>
    <w:rsid w:val="002719AF"/>
    <w:rsid w:val="00271CFF"/>
    <w:rsid w:val="0027350D"/>
    <w:rsid w:val="00276302"/>
    <w:rsid w:val="002820FD"/>
    <w:rsid w:val="002859AE"/>
    <w:rsid w:val="00286BF8"/>
    <w:rsid w:val="00291976"/>
    <w:rsid w:val="00293812"/>
    <w:rsid w:val="00293B07"/>
    <w:rsid w:val="00295847"/>
    <w:rsid w:val="002A0B41"/>
    <w:rsid w:val="002A13D8"/>
    <w:rsid w:val="002A1A32"/>
    <w:rsid w:val="002A57A6"/>
    <w:rsid w:val="002A7167"/>
    <w:rsid w:val="002A7586"/>
    <w:rsid w:val="002B0395"/>
    <w:rsid w:val="002B3DA2"/>
    <w:rsid w:val="002B3EBF"/>
    <w:rsid w:val="002B43C9"/>
    <w:rsid w:val="002B4CD9"/>
    <w:rsid w:val="002B5AF3"/>
    <w:rsid w:val="002C07B1"/>
    <w:rsid w:val="002C2045"/>
    <w:rsid w:val="002C20D5"/>
    <w:rsid w:val="002C3120"/>
    <w:rsid w:val="002C55CD"/>
    <w:rsid w:val="002C5BE8"/>
    <w:rsid w:val="002D5F57"/>
    <w:rsid w:val="002D6D2A"/>
    <w:rsid w:val="002E4035"/>
    <w:rsid w:val="002F2B58"/>
    <w:rsid w:val="00306504"/>
    <w:rsid w:val="00306970"/>
    <w:rsid w:val="003109E8"/>
    <w:rsid w:val="003122E5"/>
    <w:rsid w:val="00315639"/>
    <w:rsid w:val="0031581B"/>
    <w:rsid w:val="00320310"/>
    <w:rsid w:val="00323713"/>
    <w:rsid w:val="00325355"/>
    <w:rsid w:val="0033377A"/>
    <w:rsid w:val="00340336"/>
    <w:rsid w:val="003427EB"/>
    <w:rsid w:val="00343B45"/>
    <w:rsid w:val="00344D4E"/>
    <w:rsid w:val="00347168"/>
    <w:rsid w:val="003471A4"/>
    <w:rsid w:val="003500B8"/>
    <w:rsid w:val="003537CF"/>
    <w:rsid w:val="00353A8B"/>
    <w:rsid w:val="00354291"/>
    <w:rsid w:val="00360B4A"/>
    <w:rsid w:val="003611BF"/>
    <w:rsid w:val="00364A85"/>
    <w:rsid w:val="003658A6"/>
    <w:rsid w:val="00366823"/>
    <w:rsid w:val="00366911"/>
    <w:rsid w:val="00371B26"/>
    <w:rsid w:val="0037366A"/>
    <w:rsid w:val="00373704"/>
    <w:rsid w:val="00373A82"/>
    <w:rsid w:val="0037403A"/>
    <w:rsid w:val="0037533A"/>
    <w:rsid w:val="00375BF1"/>
    <w:rsid w:val="0037680E"/>
    <w:rsid w:val="00377F2D"/>
    <w:rsid w:val="00380C92"/>
    <w:rsid w:val="00386296"/>
    <w:rsid w:val="00386431"/>
    <w:rsid w:val="00387B7F"/>
    <w:rsid w:val="00387CB2"/>
    <w:rsid w:val="0039040C"/>
    <w:rsid w:val="00390D92"/>
    <w:rsid w:val="0039135E"/>
    <w:rsid w:val="0039240D"/>
    <w:rsid w:val="00395CE6"/>
    <w:rsid w:val="003975AF"/>
    <w:rsid w:val="003A473A"/>
    <w:rsid w:val="003A53F2"/>
    <w:rsid w:val="003A5F17"/>
    <w:rsid w:val="003B0F11"/>
    <w:rsid w:val="003B109C"/>
    <w:rsid w:val="003B1885"/>
    <w:rsid w:val="003B44A3"/>
    <w:rsid w:val="003C00D1"/>
    <w:rsid w:val="003C36DA"/>
    <w:rsid w:val="003C4BF5"/>
    <w:rsid w:val="003C75F0"/>
    <w:rsid w:val="003D214A"/>
    <w:rsid w:val="003D2A21"/>
    <w:rsid w:val="003D455E"/>
    <w:rsid w:val="003D4D0A"/>
    <w:rsid w:val="003D7267"/>
    <w:rsid w:val="003E6712"/>
    <w:rsid w:val="003F00AE"/>
    <w:rsid w:val="003F3862"/>
    <w:rsid w:val="003F71BC"/>
    <w:rsid w:val="003F7A93"/>
    <w:rsid w:val="003F7ED0"/>
    <w:rsid w:val="0040019E"/>
    <w:rsid w:val="004009EB"/>
    <w:rsid w:val="004010F7"/>
    <w:rsid w:val="00403DB6"/>
    <w:rsid w:val="00415242"/>
    <w:rsid w:val="00415336"/>
    <w:rsid w:val="00421448"/>
    <w:rsid w:val="00422E34"/>
    <w:rsid w:val="00431BE6"/>
    <w:rsid w:val="00436D81"/>
    <w:rsid w:val="00436EE9"/>
    <w:rsid w:val="004374A9"/>
    <w:rsid w:val="004406F3"/>
    <w:rsid w:val="00440CF5"/>
    <w:rsid w:val="00447447"/>
    <w:rsid w:val="004476BE"/>
    <w:rsid w:val="004505BE"/>
    <w:rsid w:val="00456A32"/>
    <w:rsid w:val="00457406"/>
    <w:rsid w:val="004619C6"/>
    <w:rsid w:val="004629A5"/>
    <w:rsid w:val="00462A52"/>
    <w:rsid w:val="004658D2"/>
    <w:rsid w:val="0047257F"/>
    <w:rsid w:val="00475A4B"/>
    <w:rsid w:val="0047642B"/>
    <w:rsid w:val="00477E5E"/>
    <w:rsid w:val="0048362C"/>
    <w:rsid w:val="004839AA"/>
    <w:rsid w:val="0048708D"/>
    <w:rsid w:val="00490C38"/>
    <w:rsid w:val="004960DA"/>
    <w:rsid w:val="0049682A"/>
    <w:rsid w:val="00496A1A"/>
    <w:rsid w:val="004A48EA"/>
    <w:rsid w:val="004A499E"/>
    <w:rsid w:val="004B79D6"/>
    <w:rsid w:val="004C3BD7"/>
    <w:rsid w:val="004C658C"/>
    <w:rsid w:val="004D370D"/>
    <w:rsid w:val="004D558A"/>
    <w:rsid w:val="004E067D"/>
    <w:rsid w:val="004E21AA"/>
    <w:rsid w:val="004E5DA7"/>
    <w:rsid w:val="004F0A41"/>
    <w:rsid w:val="004F247A"/>
    <w:rsid w:val="004F77CE"/>
    <w:rsid w:val="005016E6"/>
    <w:rsid w:val="0050310A"/>
    <w:rsid w:val="00505623"/>
    <w:rsid w:val="00510D9E"/>
    <w:rsid w:val="00514E4F"/>
    <w:rsid w:val="0051511B"/>
    <w:rsid w:val="0051519F"/>
    <w:rsid w:val="0052103E"/>
    <w:rsid w:val="00527A64"/>
    <w:rsid w:val="0053401F"/>
    <w:rsid w:val="00536DEC"/>
    <w:rsid w:val="00537071"/>
    <w:rsid w:val="00540B96"/>
    <w:rsid w:val="00551DFD"/>
    <w:rsid w:val="005537BF"/>
    <w:rsid w:val="0055565E"/>
    <w:rsid w:val="0056060F"/>
    <w:rsid w:val="00561188"/>
    <w:rsid w:val="005624F3"/>
    <w:rsid w:val="00565625"/>
    <w:rsid w:val="00565C3A"/>
    <w:rsid w:val="00566224"/>
    <w:rsid w:val="005676B9"/>
    <w:rsid w:val="00567CF0"/>
    <w:rsid w:val="005706FF"/>
    <w:rsid w:val="0057080A"/>
    <w:rsid w:val="00572AC9"/>
    <w:rsid w:val="005737E5"/>
    <w:rsid w:val="00574867"/>
    <w:rsid w:val="0057736C"/>
    <w:rsid w:val="0057798A"/>
    <w:rsid w:val="00582CDD"/>
    <w:rsid w:val="00584472"/>
    <w:rsid w:val="00584581"/>
    <w:rsid w:val="005851E4"/>
    <w:rsid w:val="005856FC"/>
    <w:rsid w:val="00585FFC"/>
    <w:rsid w:val="005876EA"/>
    <w:rsid w:val="00587D73"/>
    <w:rsid w:val="00595813"/>
    <w:rsid w:val="005A04E6"/>
    <w:rsid w:val="005A0BDE"/>
    <w:rsid w:val="005A0E46"/>
    <w:rsid w:val="005A336C"/>
    <w:rsid w:val="005A3977"/>
    <w:rsid w:val="005B1296"/>
    <w:rsid w:val="005B3A72"/>
    <w:rsid w:val="005B3FED"/>
    <w:rsid w:val="005C08BC"/>
    <w:rsid w:val="005C402F"/>
    <w:rsid w:val="005C504F"/>
    <w:rsid w:val="005D16D4"/>
    <w:rsid w:val="005D1AB2"/>
    <w:rsid w:val="005D6E8A"/>
    <w:rsid w:val="005E0F17"/>
    <w:rsid w:val="005E1065"/>
    <w:rsid w:val="005E2FC2"/>
    <w:rsid w:val="005E54DA"/>
    <w:rsid w:val="005E5C00"/>
    <w:rsid w:val="005E622C"/>
    <w:rsid w:val="005E7215"/>
    <w:rsid w:val="0060133D"/>
    <w:rsid w:val="00602691"/>
    <w:rsid w:val="00604223"/>
    <w:rsid w:val="00605D66"/>
    <w:rsid w:val="00611F60"/>
    <w:rsid w:val="00617858"/>
    <w:rsid w:val="0062089F"/>
    <w:rsid w:val="00622161"/>
    <w:rsid w:val="00622A36"/>
    <w:rsid w:val="00632233"/>
    <w:rsid w:val="00632F3B"/>
    <w:rsid w:val="00633D54"/>
    <w:rsid w:val="00634472"/>
    <w:rsid w:val="00636565"/>
    <w:rsid w:val="0064259E"/>
    <w:rsid w:val="00645562"/>
    <w:rsid w:val="0064794A"/>
    <w:rsid w:val="0065013D"/>
    <w:rsid w:val="006509DD"/>
    <w:rsid w:val="00653851"/>
    <w:rsid w:val="00653901"/>
    <w:rsid w:val="00653B39"/>
    <w:rsid w:val="00655415"/>
    <w:rsid w:val="006554D5"/>
    <w:rsid w:val="006564AA"/>
    <w:rsid w:val="0065740A"/>
    <w:rsid w:val="006579F8"/>
    <w:rsid w:val="00661A82"/>
    <w:rsid w:val="0066299F"/>
    <w:rsid w:val="00662D88"/>
    <w:rsid w:val="0066739F"/>
    <w:rsid w:val="00672681"/>
    <w:rsid w:val="00675B38"/>
    <w:rsid w:val="006770A2"/>
    <w:rsid w:val="0068044F"/>
    <w:rsid w:val="00680CE7"/>
    <w:rsid w:val="0068160F"/>
    <w:rsid w:val="006860A3"/>
    <w:rsid w:val="0068635E"/>
    <w:rsid w:val="00687369"/>
    <w:rsid w:val="0068774A"/>
    <w:rsid w:val="00687F71"/>
    <w:rsid w:val="0069144E"/>
    <w:rsid w:val="006922F6"/>
    <w:rsid w:val="00695048"/>
    <w:rsid w:val="00695921"/>
    <w:rsid w:val="006969F7"/>
    <w:rsid w:val="00696A82"/>
    <w:rsid w:val="006A054A"/>
    <w:rsid w:val="006A1785"/>
    <w:rsid w:val="006A3945"/>
    <w:rsid w:val="006B35EB"/>
    <w:rsid w:val="006B4FF9"/>
    <w:rsid w:val="006B5F9B"/>
    <w:rsid w:val="006B67C6"/>
    <w:rsid w:val="006B7DDE"/>
    <w:rsid w:val="006C06CD"/>
    <w:rsid w:val="006C1986"/>
    <w:rsid w:val="006C274B"/>
    <w:rsid w:val="006C3892"/>
    <w:rsid w:val="006C3A23"/>
    <w:rsid w:val="006D1CFC"/>
    <w:rsid w:val="006D25F7"/>
    <w:rsid w:val="006D7D90"/>
    <w:rsid w:val="006D7D95"/>
    <w:rsid w:val="006E16ED"/>
    <w:rsid w:val="006E1FE1"/>
    <w:rsid w:val="006E2AC5"/>
    <w:rsid w:val="006E39FD"/>
    <w:rsid w:val="006E47C1"/>
    <w:rsid w:val="006F4011"/>
    <w:rsid w:val="006F46A0"/>
    <w:rsid w:val="00701C6B"/>
    <w:rsid w:val="00704348"/>
    <w:rsid w:val="00704DB0"/>
    <w:rsid w:val="00705457"/>
    <w:rsid w:val="00707185"/>
    <w:rsid w:val="007108CA"/>
    <w:rsid w:val="00710978"/>
    <w:rsid w:val="007116E3"/>
    <w:rsid w:val="007133D1"/>
    <w:rsid w:val="00715119"/>
    <w:rsid w:val="00716429"/>
    <w:rsid w:val="007169F7"/>
    <w:rsid w:val="007222D3"/>
    <w:rsid w:val="00722B30"/>
    <w:rsid w:val="00723C91"/>
    <w:rsid w:val="007258E2"/>
    <w:rsid w:val="00733A77"/>
    <w:rsid w:val="007342B2"/>
    <w:rsid w:val="0073458F"/>
    <w:rsid w:val="00735AAE"/>
    <w:rsid w:val="00736D20"/>
    <w:rsid w:val="0073754F"/>
    <w:rsid w:val="0074082F"/>
    <w:rsid w:val="007416A5"/>
    <w:rsid w:val="00745781"/>
    <w:rsid w:val="007562DB"/>
    <w:rsid w:val="00756FEE"/>
    <w:rsid w:val="0075732D"/>
    <w:rsid w:val="007601E7"/>
    <w:rsid w:val="00761003"/>
    <w:rsid w:val="0076253A"/>
    <w:rsid w:val="007649A5"/>
    <w:rsid w:val="00765331"/>
    <w:rsid w:val="00766C77"/>
    <w:rsid w:val="00767A21"/>
    <w:rsid w:val="00770D56"/>
    <w:rsid w:val="00771CF8"/>
    <w:rsid w:val="00773755"/>
    <w:rsid w:val="007754A8"/>
    <w:rsid w:val="00777302"/>
    <w:rsid w:val="007776C8"/>
    <w:rsid w:val="0077795B"/>
    <w:rsid w:val="00777BC4"/>
    <w:rsid w:val="00780085"/>
    <w:rsid w:val="00780C06"/>
    <w:rsid w:val="0078288D"/>
    <w:rsid w:val="00783614"/>
    <w:rsid w:val="0078389C"/>
    <w:rsid w:val="0078777C"/>
    <w:rsid w:val="0079688B"/>
    <w:rsid w:val="007979AF"/>
    <w:rsid w:val="007A239F"/>
    <w:rsid w:val="007A31D0"/>
    <w:rsid w:val="007A6BE9"/>
    <w:rsid w:val="007A71A1"/>
    <w:rsid w:val="007B1D18"/>
    <w:rsid w:val="007B252B"/>
    <w:rsid w:val="007B54B2"/>
    <w:rsid w:val="007C11C9"/>
    <w:rsid w:val="007C224F"/>
    <w:rsid w:val="007C57F4"/>
    <w:rsid w:val="007D0300"/>
    <w:rsid w:val="007D0D19"/>
    <w:rsid w:val="007D6935"/>
    <w:rsid w:val="007D7297"/>
    <w:rsid w:val="007E0CB6"/>
    <w:rsid w:val="007E12BE"/>
    <w:rsid w:val="007E68E2"/>
    <w:rsid w:val="007F1EFE"/>
    <w:rsid w:val="007F224E"/>
    <w:rsid w:val="00800C1C"/>
    <w:rsid w:val="00801675"/>
    <w:rsid w:val="008051C8"/>
    <w:rsid w:val="00806B89"/>
    <w:rsid w:val="00811472"/>
    <w:rsid w:val="00811DCA"/>
    <w:rsid w:val="00814DA4"/>
    <w:rsid w:val="00820D0E"/>
    <w:rsid w:val="008222FA"/>
    <w:rsid w:val="0082340F"/>
    <w:rsid w:val="00823C9D"/>
    <w:rsid w:val="00824A63"/>
    <w:rsid w:val="00825991"/>
    <w:rsid w:val="008270EE"/>
    <w:rsid w:val="00830D44"/>
    <w:rsid w:val="00831175"/>
    <w:rsid w:val="0083300A"/>
    <w:rsid w:val="0083499F"/>
    <w:rsid w:val="008357A9"/>
    <w:rsid w:val="008367CC"/>
    <w:rsid w:val="00837D5F"/>
    <w:rsid w:val="008402C2"/>
    <w:rsid w:val="00840312"/>
    <w:rsid w:val="00841281"/>
    <w:rsid w:val="008449C6"/>
    <w:rsid w:val="00846D95"/>
    <w:rsid w:val="00846F16"/>
    <w:rsid w:val="00850FA2"/>
    <w:rsid w:val="00856FD4"/>
    <w:rsid w:val="008600FD"/>
    <w:rsid w:val="00860EA0"/>
    <w:rsid w:val="008622CE"/>
    <w:rsid w:val="0086749F"/>
    <w:rsid w:val="00867C5C"/>
    <w:rsid w:val="00871D49"/>
    <w:rsid w:val="00872AE3"/>
    <w:rsid w:val="0087349E"/>
    <w:rsid w:val="00875565"/>
    <w:rsid w:val="008769E1"/>
    <w:rsid w:val="00877186"/>
    <w:rsid w:val="00877F31"/>
    <w:rsid w:val="008820BD"/>
    <w:rsid w:val="0089067B"/>
    <w:rsid w:val="00892DB8"/>
    <w:rsid w:val="00892DC0"/>
    <w:rsid w:val="00896325"/>
    <w:rsid w:val="008A0A34"/>
    <w:rsid w:val="008A10A1"/>
    <w:rsid w:val="008A2ED3"/>
    <w:rsid w:val="008A4B70"/>
    <w:rsid w:val="008A5586"/>
    <w:rsid w:val="008A5645"/>
    <w:rsid w:val="008A7ACB"/>
    <w:rsid w:val="008B316B"/>
    <w:rsid w:val="008C5438"/>
    <w:rsid w:val="008C76F8"/>
    <w:rsid w:val="008D43A3"/>
    <w:rsid w:val="008D4D21"/>
    <w:rsid w:val="008D5E0D"/>
    <w:rsid w:val="008D76FF"/>
    <w:rsid w:val="008E05EF"/>
    <w:rsid w:val="008E1DE6"/>
    <w:rsid w:val="008E1FEF"/>
    <w:rsid w:val="008E4D98"/>
    <w:rsid w:val="008E52E1"/>
    <w:rsid w:val="008E5CAB"/>
    <w:rsid w:val="008F0994"/>
    <w:rsid w:val="008F1922"/>
    <w:rsid w:val="008F2586"/>
    <w:rsid w:val="008F29BC"/>
    <w:rsid w:val="008F3E19"/>
    <w:rsid w:val="008F4EB1"/>
    <w:rsid w:val="008F6249"/>
    <w:rsid w:val="00900813"/>
    <w:rsid w:val="009022F4"/>
    <w:rsid w:val="00904CF8"/>
    <w:rsid w:val="009054AF"/>
    <w:rsid w:val="00905D35"/>
    <w:rsid w:val="0091297E"/>
    <w:rsid w:val="009160C0"/>
    <w:rsid w:val="0091706F"/>
    <w:rsid w:val="009235B3"/>
    <w:rsid w:val="00926E2C"/>
    <w:rsid w:val="00927DFB"/>
    <w:rsid w:val="00932F5E"/>
    <w:rsid w:val="00933234"/>
    <w:rsid w:val="00933652"/>
    <w:rsid w:val="0093579E"/>
    <w:rsid w:val="00937C8D"/>
    <w:rsid w:val="00942359"/>
    <w:rsid w:val="00942E87"/>
    <w:rsid w:val="009434FC"/>
    <w:rsid w:val="00945ACD"/>
    <w:rsid w:val="00946418"/>
    <w:rsid w:val="009521B2"/>
    <w:rsid w:val="009542A7"/>
    <w:rsid w:val="00956963"/>
    <w:rsid w:val="00956C75"/>
    <w:rsid w:val="00956F61"/>
    <w:rsid w:val="00957D23"/>
    <w:rsid w:val="009601D4"/>
    <w:rsid w:val="0096141A"/>
    <w:rsid w:val="009614E9"/>
    <w:rsid w:val="009649B7"/>
    <w:rsid w:val="00966A8C"/>
    <w:rsid w:val="00966D49"/>
    <w:rsid w:val="00967C4A"/>
    <w:rsid w:val="009713DB"/>
    <w:rsid w:val="00972B7D"/>
    <w:rsid w:val="00974D0E"/>
    <w:rsid w:val="00976613"/>
    <w:rsid w:val="009770C1"/>
    <w:rsid w:val="00977A0D"/>
    <w:rsid w:val="009849A4"/>
    <w:rsid w:val="0098650A"/>
    <w:rsid w:val="009903FC"/>
    <w:rsid w:val="0099279C"/>
    <w:rsid w:val="00992CCD"/>
    <w:rsid w:val="009941BC"/>
    <w:rsid w:val="00995913"/>
    <w:rsid w:val="009A1587"/>
    <w:rsid w:val="009A3041"/>
    <w:rsid w:val="009A5657"/>
    <w:rsid w:val="009A6FD2"/>
    <w:rsid w:val="009A764B"/>
    <w:rsid w:val="009B4323"/>
    <w:rsid w:val="009B4B2B"/>
    <w:rsid w:val="009B6A64"/>
    <w:rsid w:val="009C3DDD"/>
    <w:rsid w:val="009C624B"/>
    <w:rsid w:val="009D0A50"/>
    <w:rsid w:val="009D6D1B"/>
    <w:rsid w:val="009D7444"/>
    <w:rsid w:val="009D79B5"/>
    <w:rsid w:val="009E379C"/>
    <w:rsid w:val="009E7086"/>
    <w:rsid w:val="009F6910"/>
    <w:rsid w:val="009F6996"/>
    <w:rsid w:val="009F7281"/>
    <w:rsid w:val="009F73C4"/>
    <w:rsid w:val="00A01955"/>
    <w:rsid w:val="00A01CB9"/>
    <w:rsid w:val="00A050D2"/>
    <w:rsid w:val="00A05F55"/>
    <w:rsid w:val="00A06172"/>
    <w:rsid w:val="00A12698"/>
    <w:rsid w:val="00A12C7B"/>
    <w:rsid w:val="00A13F24"/>
    <w:rsid w:val="00A141C0"/>
    <w:rsid w:val="00A14345"/>
    <w:rsid w:val="00A20207"/>
    <w:rsid w:val="00A214FE"/>
    <w:rsid w:val="00A21E6A"/>
    <w:rsid w:val="00A23A4B"/>
    <w:rsid w:val="00A24258"/>
    <w:rsid w:val="00A2447F"/>
    <w:rsid w:val="00A25FEB"/>
    <w:rsid w:val="00A26F8A"/>
    <w:rsid w:val="00A3099C"/>
    <w:rsid w:val="00A336DD"/>
    <w:rsid w:val="00A36841"/>
    <w:rsid w:val="00A41AFF"/>
    <w:rsid w:val="00A44896"/>
    <w:rsid w:val="00A51826"/>
    <w:rsid w:val="00A564AE"/>
    <w:rsid w:val="00A56E68"/>
    <w:rsid w:val="00A673F7"/>
    <w:rsid w:val="00A70BCC"/>
    <w:rsid w:val="00A7654E"/>
    <w:rsid w:val="00A7730B"/>
    <w:rsid w:val="00A77E4D"/>
    <w:rsid w:val="00A80729"/>
    <w:rsid w:val="00A81D61"/>
    <w:rsid w:val="00A8211C"/>
    <w:rsid w:val="00A8241F"/>
    <w:rsid w:val="00A906C6"/>
    <w:rsid w:val="00A91662"/>
    <w:rsid w:val="00A9204D"/>
    <w:rsid w:val="00A969E0"/>
    <w:rsid w:val="00AA15BB"/>
    <w:rsid w:val="00AA174D"/>
    <w:rsid w:val="00AA30EC"/>
    <w:rsid w:val="00AA6A8B"/>
    <w:rsid w:val="00AA7B78"/>
    <w:rsid w:val="00AA7F19"/>
    <w:rsid w:val="00AB2042"/>
    <w:rsid w:val="00AB2630"/>
    <w:rsid w:val="00AB3F10"/>
    <w:rsid w:val="00AB6C69"/>
    <w:rsid w:val="00AB7E98"/>
    <w:rsid w:val="00AC0BF7"/>
    <w:rsid w:val="00AC1E47"/>
    <w:rsid w:val="00AC1E7A"/>
    <w:rsid w:val="00AC2D2F"/>
    <w:rsid w:val="00AC40A5"/>
    <w:rsid w:val="00AC5DBE"/>
    <w:rsid w:val="00AC5E63"/>
    <w:rsid w:val="00AC7023"/>
    <w:rsid w:val="00AD0F87"/>
    <w:rsid w:val="00AD117A"/>
    <w:rsid w:val="00AD23C0"/>
    <w:rsid w:val="00AD44FF"/>
    <w:rsid w:val="00AE22EC"/>
    <w:rsid w:val="00AE2867"/>
    <w:rsid w:val="00AE3A22"/>
    <w:rsid w:val="00AE4547"/>
    <w:rsid w:val="00AE69F1"/>
    <w:rsid w:val="00AE76C1"/>
    <w:rsid w:val="00AF1123"/>
    <w:rsid w:val="00AF1D31"/>
    <w:rsid w:val="00AF2882"/>
    <w:rsid w:val="00AF3B16"/>
    <w:rsid w:val="00AF3EA7"/>
    <w:rsid w:val="00AF6D50"/>
    <w:rsid w:val="00AF722D"/>
    <w:rsid w:val="00B04D56"/>
    <w:rsid w:val="00B06474"/>
    <w:rsid w:val="00B06B2D"/>
    <w:rsid w:val="00B07ECD"/>
    <w:rsid w:val="00B07F34"/>
    <w:rsid w:val="00B128FA"/>
    <w:rsid w:val="00B12CD3"/>
    <w:rsid w:val="00B12D0A"/>
    <w:rsid w:val="00B21539"/>
    <w:rsid w:val="00B22A9E"/>
    <w:rsid w:val="00B2564E"/>
    <w:rsid w:val="00B256AD"/>
    <w:rsid w:val="00B25E0B"/>
    <w:rsid w:val="00B27261"/>
    <w:rsid w:val="00B31A04"/>
    <w:rsid w:val="00B362B8"/>
    <w:rsid w:val="00B36512"/>
    <w:rsid w:val="00B3725C"/>
    <w:rsid w:val="00B37F66"/>
    <w:rsid w:val="00B41727"/>
    <w:rsid w:val="00B43A57"/>
    <w:rsid w:val="00B446D7"/>
    <w:rsid w:val="00B4505D"/>
    <w:rsid w:val="00B51FC0"/>
    <w:rsid w:val="00B52193"/>
    <w:rsid w:val="00B52734"/>
    <w:rsid w:val="00B54A90"/>
    <w:rsid w:val="00B55A3D"/>
    <w:rsid w:val="00B561CF"/>
    <w:rsid w:val="00B57344"/>
    <w:rsid w:val="00B60192"/>
    <w:rsid w:val="00B61F76"/>
    <w:rsid w:val="00B6373D"/>
    <w:rsid w:val="00B716C8"/>
    <w:rsid w:val="00B755A6"/>
    <w:rsid w:val="00B807AD"/>
    <w:rsid w:val="00B8283C"/>
    <w:rsid w:val="00B84222"/>
    <w:rsid w:val="00B8440A"/>
    <w:rsid w:val="00B84E02"/>
    <w:rsid w:val="00B86DB3"/>
    <w:rsid w:val="00B9220D"/>
    <w:rsid w:val="00B93EE8"/>
    <w:rsid w:val="00B94CD4"/>
    <w:rsid w:val="00B9602A"/>
    <w:rsid w:val="00B96644"/>
    <w:rsid w:val="00B96C66"/>
    <w:rsid w:val="00B9789C"/>
    <w:rsid w:val="00B97CA2"/>
    <w:rsid w:val="00BA0333"/>
    <w:rsid w:val="00BA0CE0"/>
    <w:rsid w:val="00BA3C9C"/>
    <w:rsid w:val="00BA4EFD"/>
    <w:rsid w:val="00BA725A"/>
    <w:rsid w:val="00BB14D0"/>
    <w:rsid w:val="00BB623A"/>
    <w:rsid w:val="00BC1E4F"/>
    <w:rsid w:val="00BC4189"/>
    <w:rsid w:val="00BC4B13"/>
    <w:rsid w:val="00BC62CD"/>
    <w:rsid w:val="00BD231C"/>
    <w:rsid w:val="00BD2770"/>
    <w:rsid w:val="00BD2BE7"/>
    <w:rsid w:val="00BD2D3D"/>
    <w:rsid w:val="00BE1A15"/>
    <w:rsid w:val="00BE2B12"/>
    <w:rsid w:val="00BE50BB"/>
    <w:rsid w:val="00BE74C6"/>
    <w:rsid w:val="00BE7C91"/>
    <w:rsid w:val="00BF2D20"/>
    <w:rsid w:val="00BF5C5A"/>
    <w:rsid w:val="00C0251F"/>
    <w:rsid w:val="00C036FA"/>
    <w:rsid w:val="00C039EB"/>
    <w:rsid w:val="00C103DD"/>
    <w:rsid w:val="00C105C5"/>
    <w:rsid w:val="00C12809"/>
    <w:rsid w:val="00C13D66"/>
    <w:rsid w:val="00C1432C"/>
    <w:rsid w:val="00C15541"/>
    <w:rsid w:val="00C20776"/>
    <w:rsid w:val="00C23AF1"/>
    <w:rsid w:val="00C2501D"/>
    <w:rsid w:val="00C25D47"/>
    <w:rsid w:val="00C26E1B"/>
    <w:rsid w:val="00C365B9"/>
    <w:rsid w:val="00C3678A"/>
    <w:rsid w:val="00C3770F"/>
    <w:rsid w:val="00C43114"/>
    <w:rsid w:val="00C439A0"/>
    <w:rsid w:val="00C43B0D"/>
    <w:rsid w:val="00C444BE"/>
    <w:rsid w:val="00C556D3"/>
    <w:rsid w:val="00C55E66"/>
    <w:rsid w:val="00C637B9"/>
    <w:rsid w:val="00C63BC6"/>
    <w:rsid w:val="00C65704"/>
    <w:rsid w:val="00C6749A"/>
    <w:rsid w:val="00C704F6"/>
    <w:rsid w:val="00C72D08"/>
    <w:rsid w:val="00C754B3"/>
    <w:rsid w:val="00C7676A"/>
    <w:rsid w:val="00C7714B"/>
    <w:rsid w:val="00C77E13"/>
    <w:rsid w:val="00C86B4D"/>
    <w:rsid w:val="00C915E2"/>
    <w:rsid w:val="00C9174B"/>
    <w:rsid w:val="00C92AF3"/>
    <w:rsid w:val="00C93F3C"/>
    <w:rsid w:val="00CA1A34"/>
    <w:rsid w:val="00CA20FC"/>
    <w:rsid w:val="00CA228C"/>
    <w:rsid w:val="00CA3163"/>
    <w:rsid w:val="00CA3C8C"/>
    <w:rsid w:val="00CB1F8C"/>
    <w:rsid w:val="00CB48AC"/>
    <w:rsid w:val="00CB5244"/>
    <w:rsid w:val="00CB6054"/>
    <w:rsid w:val="00CB7F88"/>
    <w:rsid w:val="00CC241F"/>
    <w:rsid w:val="00CC2577"/>
    <w:rsid w:val="00CC2C63"/>
    <w:rsid w:val="00CC4D00"/>
    <w:rsid w:val="00CC4E02"/>
    <w:rsid w:val="00CC6F30"/>
    <w:rsid w:val="00CC7CDF"/>
    <w:rsid w:val="00CD4F10"/>
    <w:rsid w:val="00CD534A"/>
    <w:rsid w:val="00CD6A63"/>
    <w:rsid w:val="00CE2B7A"/>
    <w:rsid w:val="00CE3381"/>
    <w:rsid w:val="00CF04C6"/>
    <w:rsid w:val="00CF2113"/>
    <w:rsid w:val="00CF2682"/>
    <w:rsid w:val="00CF33BF"/>
    <w:rsid w:val="00CF47BF"/>
    <w:rsid w:val="00CF689E"/>
    <w:rsid w:val="00CF6B81"/>
    <w:rsid w:val="00CF7682"/>
    <w:rsid w:val="00D00451"/>
    <w:rsid w:val="00D036B7"/>
    <w:rsid w:val="00D03D54"/>
    <w:rsid w:val="00D04AE8"/>
    <w:rsid w:val="00D06587"/>
    <w:rsid w:val="00D11CA9"/>
    <w:rsid w:val="00D12987"/>
    <w:rsid w:val="00D1377D"/>
    <w:rsid w:val="00D13D18"/>
    <w:rsid w:val="00D1582A"/>
    <w:rsid w:val="00D15FB8"/>
    <w:rsid w:val="00D228C2"/>
    <w:rsid w:val="00D239DD"/>
    <w:rsid w:val="00D24F61"/>
    <w:rsid w:val="00D26BAE"/>
    <w:rsid w:val="00D32C62"/>
    <w:rsid w:val="00D33C01"/>
    <w:rsid w:val="00D35CE2"/>
    <w:rsid w:val="00D36257"/>
    <w:rsid w:val="00D37AA4"/>
    <w:rsid w:val="00D424A2"/>
    <w:rsid w:val="00D42913"/>
    <w:rsid w:val="00D4371B"/>
    <w:rsid w:val="00D45BAB"/>
    <w:rsid w:val="00D474A4"/>
    <w:rsid w:val="00D47A47"/>
    <w:rsid w:val="00D47FB7"/>
    <w:rsid w:val="00D52406"/>
    <w:rsid w:val="00D53259"/>
    <w:rsid w:val="00D536AF"/>
    <w:rsid w:val="00D54F72"/>
    <w:rsid w:val="00D55077"/>
    <w:rsid w:val="00D626E0"/>
    <w:rsid w:val="00D6311F"/>
    <w:rsid w:val="00D64D93"/>
    <w:rsid w:val="00D65822"/>
    <w:rsid w:val="00D66C63"/>
    <w:rsid w:val="00D7216F"/>
    <w:rsid w:val="00D737D8"/>
    <w:rsid w:val="00D738C7"/>
    <w:rsid w:val="00D73E49"/>
    <w:rsid w:val="00D774C2"/>
    <w:rsid w:val="00D82F94"/>
    <w:rsid w:val="00D83554"/>
    <w:rsid w:val="00D83C5D"/>
    <w:rsid w:val="00D841B0"/>
    <w:rsid w:val="00D84C08"/>
    <w:rsid w:val="00D8590B"/>
    <w:rsid w:val="00D87149"/>
    <w:rsid w:val="00D92C19"/>
    <w:rsid w:val="00D953CC"/>
    <w:rsid w:val="00D9729E"/>
    <w:rsid w:val="00DA4040"/>
    <w:rsid w:val="00DA5300"/>
    <w:rsid w:val="00DA66B8"/>
    <w:rsid w:val="00DB0D69"/>
    <w:rsid w:val="00DB4093"/>
    <w:rsid w:val="00DB5B10"/>
    <w:rsid w:val="00DC09B7"/>
    <w:rsid w:val="00DC0F11"/>
    <w:rsid w:val="00DD09E2"/>
    <w:rsid w:val="00DD260C"/>
    <w:rsid w:val="00DD34F6"/>
    <w:rsid w:val="00DD38D7"/>
    <w:rsid w:val="00DD4BE7"/>
    <w:rsid w:val="00DD4DDA"/>
    <w:rsid w:val="00DD739F"/>
    <w:rsid w:val="00DE6D18"/>
    <w:rsid w:val="00DE6FB1"/>
    <w:rsid w:val="00DE72B1"/>
    <w:rsid w:val="00DE7506"/>
    <w:rsid w:val="00DF0024"/>
    <w:rsid w:val="00DF0251"/>
    <w:rsid w:val="00DF0413"/>
    <w:rsid w:val="00DF0582"/>
    <w:rsid w:val="00DF71EF"/>
    <w:rsid w:val="00DF74F4"/>
    <w:rsid w:val="00DF7EF5"/>
    <w:rsid w:val="00E02A4B"/>
    <w:rsid w:val="00E0533B"/>
    <w:rsid w:val="00E11181"/>
    <w:rsid w:val="00E11365"/>
    <w:rsid w:val="00E11D27"/>
    <w:rsid w:val="00E11DD4"/>
    <w:rsid w:val="00E12359"/>
    <w:rsid w:val="00E12BF3"/>
    <w:rsid w:val="00E1458C"/>
    <w:rsid w:val="00E17981"/>
    <w:rsid w:val="00E21085"/>
    <w:rsid w:val="00E21455"/>
    <w:rsid w:val="00E254A8"/>
    <w:rsid w:val="00E25C96"/>
    <w:rsid w:val="00E26E57"/>
    <w:rsid w:val="00E30219"/>
    <w:rsid w:val="00E306DB"/>
    <w:rsid w:val="00E32685"/>
    <w:rsid w:val="00E35118"/>
    <w:rsid w:val="00E37191"/>
    <w:rsid w:val="00E37922"/>
    <w:rsid w:val="00E37C82"/>
    <w:rsid w:val="00E413A6"/>
    <w:rsid w:val="00E41675"/>
    <w:rsid w:val="00E4248B"/>
    <w:rsid w:val="00E472DB"/>
    <w:rsid w:val="00E47616"/>
    <w:rsid w:val="00E502D4"/>
    <w:rsid w:val="00E50B8E"/>
    <w:rsid w:val="00E5192C"/>
    <w:rsid w:val="00E523E6"/>
    <w:rsid w:val="00E5406F"/>
    <w:rsid w:val="00E55A69"/>
    <w:rsid w:val="00E60F11"/>
    <w:rsid w:val="00E61BF9"/>
    <w:rsid w:val="00E61C7D"/>
    <w:rsid w:val="00E6485A"/>
    <w:rsid w:val="00E64FA9"/>
    <w:rsid w:val="00E65F54"/>
    <w:rsid w:val="00E708BF"/>
    <w:rsid w:val="00E714F5"/>
    <w:rsid w:val="00E73F1D"/>
    <w:rsid w:val="00E743E4"/>
    <w:rsid w:val="00E830FB"/>
    <w:rsid w:val="00E85798"/>
    <w:rsid w:val="00E87A70"/>
    <w:rsid w:val="00E9371A"/>
    <w:rsid w:val="00E9607E"/>
    <w:rsid w:val="00E9636F"/>
    <w:rsid w:val="00EA0F74"/>
    <w:rsid w:val="00EA2FF4"/>
    <w:rsid w:val="00EA7243"/>
    <w:rsid w:val="00EA74D3"/>
    <w:rsid w:val="00EB1114"/>
    <w:rsid w:val="00EB193A"/>
    <w:rsid w:val="00EB2D5C"/>
    <w:rsid w:val="00EB3290"/>
    <w:rsid w:val="00EB575B"/>
    <w:rsid w:val="00EB576E"/>
    <w:rsid w:val="00EB6FCD"/>
    <w:rsid w:val="00EC023D"/>
    <w:rsid w:val="00EC6B3E"/>
    <w:rsid w:val="00EC7648"/>
    <w:rsid w:val="00EC7B40"/>
    <w:rsid w:val="00EC7C92"/>
    <w:rsid w:val="00ED041E"/>
    <w:rsid w:val="00ED0FD4"/>
    <w:rsid w:val="00ED26D2"/>
    <w:rsid w:val="00ED5069"/>
    <w:rsid w:val="00ED76B3"/>
    <w:rsid w:val="00ED7F9E"/>
    <w:rsid w:val="00EE0BB7"/>
    <w:rsid w:val="00EF3DA3"/>
    <w:rsid w:val="00EF6BA0"/>
    <w:rsid w:val="00F064B2"/>
    <w:rsid w:val="00F067FF"/>
    <w:rsid w:val="00F10D49"/>
    <w:rsid w:val="00F12080"/>
    <w:rsid w:val="00F1469B"/>
    <w:rsid w:val="00F15C59"/>
    <w:rsid w:val="00F17A98"/>
    <w:rsid w:val="00F207F5"/>
    <w:rsid w:val="00F21706"/>
    <w:rsid w:val="00F21D2B"/>
    <w:rsid w:val="00F23412"/>
    <w:rsid w:val="00F23915"/>
    <w:rsid w:val="00F25226"/>
    <w:rsid w:val="00F3356C"/>
    <w:rsid w:val="00F33597"/>
    <w:rsid w:val="00F34A61"/>
    <w:rsid w:val="00F3502A"/>
    <w:rsid w:val="00F3695B"/>
    <w:rsid w:val="00F41289"/>
    <w:rsid w:val="00F42358"/>
    <w:rsid w:val="00F4404E"/>
    <w:rsid w:val="00F477B7"/>
    <w:rsid w:val="00F50541"/>
    <w:rsid w:val="00F50563"/>
    <w:rsid w:val="00F50A6B"/>
    <w:rsid w:val="00F52425"/>
    <w:rsid w:val="00F5387A"/>
    <w:rsid w:val="00F53F95"/>
    <w:rsid w:val="00F5428C"/>
    <w:rsid w:val="00F5557B"/>
    <w:rsid w:val="00F57456"/>
    <w:rsid w:val="00F61C76"/>
    <w:rsid w:val="00F621F7"/>
    <w:rsid w:val="00F632FF"/>
    <w:rsid w:val="00F636CE"/>
    <w:rsid w:val="00F64512"/>
    <w:rsid w:val="00F65518"/>
    <w:rsid w:val="00F660DC"/>
    <w:rsid w:val="00F67AB0"/>
    <w:rsid w:val="00F67E08"/>
    <w:rsid w:val="00F702D6"/>
    <w:rsid w:val="00F75E9A"/>
    <w:rsid w:val="00F809C5"/>
    <w:rsid w:val="00F814AC"/>
    <w:rsid w:val="00F82FED"/>
    <w:rsid w:val="00F9048A"/>
    <w:rsid w:val="00F91F2A"/>
    <w:rsid w:val="00F94DD3"/>
    <w:rsid w:val="00F95C6A"/>
    <w:rsid w:val="00FA1DB6"/>
    <w:rsid w:val="00FA7730"/>
    <w:rsid w:val="00FB0912"/>
    <w:rsid w:val="00FB11B9"/>
    <w:rsid w:val="00FB4739"/>
    <w:rsid w:val="00FB5355"/>
    <w:rsid w:val="00FB56C4"/>
    <w:rsid w:val="00FC0768"/>
    <w:rsid w:val="00FC3D8E"/>
    <w:rsid w:val="00FC7AC8"/>
    <w:rsid w:val="00FD0A32"/>
    <w:rsid w:val="00FD0B5F"/>
    <w:rsid w:val="00FD1AAF"/>
    <w:rsid w:val="00FD5A46"/>
    <w:rsid w:val="00FE1035"/>
    <w:rsid w:val="00FE103F"/>
    <w:rsid w:val="00FE2215"/>
    <w:rsid w:val="00FE343F"/>
    <w:rsid w:val="00FE3E5D"/>
    <w:rsid w:val="00FE6A23"/>
    <w:rsid w:val="00FE6A64"/>
    <w:rsid w:val="00FE7DA5"/>
    <w:rsid w:val="00FF1884"/>
    <w:rsid w:val="00FF19BC"/>
    <w:rsid w:val="00FF3F43"/>
    <w:rsid w:val="00FF4D95"/>
    <w:rsid w:val="00FF56AD"/>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semiHidden/>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semiHidden/>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125850">
      <w:bodyDiv w:val="1"/>
      <w:marLeft w:val="0"/>
      <w:marRight w:val="0"/>
      <w:marTop w:val="0"/>
      <w:marBottom w:val="0"/>
      <w:divBdr>
        <w:top w:val="none" w:sz="0" w:space="0" w:color="auto"/>
        <w:left w:val="none" w:sz="0" w:space="0" w:color="auto"/>
        <w:bottom w:val="none" w:sz="0" w:space="0" w:color="auto"/>
        <w:right w:val="none" w:sz="0" w:space="0" w:color="auto"/>
      </w:divBdr>
    </w:div>
    <w:div w:id="1512840069">
      <w:bodyDiv w:val="1"/>
      <w:marLeft w:val="0"/>
      <w:marRight w:val="0"/>
      <w:marTop w:val="0"/>
      <w:marBottom w:val="0"/>
      <w:divBdr>
        <w:top w:val="none" w:sz="0" w:space="0" w:color="auto"/>
        <w:left w:val="none" w:sz="0" w:space="0" w:color="auto"/>
        <w:bottom w:val="none" w:sz="0" w:space="0" w:color="auto"/>
        <w:right w:val="none" w:sz="0" w:space="0" w:color="auto"/>
      </w:divBdr>
    </w:div>
    <w:div w:id="1624267466">
      <w:bodyDiv w:val="1"/>
      <w:marLeft w:val="0"/>
      <w:marRight w:val="0"/>
      <w:marTop w:val="0"/>
      <w:marBottom w:val="0"/>
      <w:divBdr>
        <w:top w:val="none" w:sz="0" w:space="0" w:color="auto"/>
        <w:left w:val="none" w:sz="0" w:space="0" w:color="auto"/>
        <w:bottom w:val="none" w:sz="0" w:space="0" w:color="auto"/>
        <w:right w:val="none" w:sz="0" w:space="0" w:color="auto"/>
      </w:divBdr>
    </w:div>
    <w:div w:id="200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wmf"/><Relationship Id="rId26" Type="http://schemas.openxmlformats.org/officeDocument/2006/relationships/chart" Target="charts/chart5.xml"/><Relationship Id="rId39" Type="http://schemas.openxmlformats.org/officeDocument/2006/relationships/chart" Target="charts/chart18.xml"/><Relationship Id="rId21" Type="http://schemas.openxmlformats.org/officeDocument/2006/relationships/oleObject" Target="embeddings/oleObject2.bin"/><Relationship Id="rId34" Type="http://schemas.openxmlformats.org/officeDocument/2006/relationships/chart" Target="charts/chart13.xml"/><Relationship Id="rId42" Type="http://schemas.openxmlformats.org/officeDocument/2006/relationships/chart" Target="charts/chart21.xml"/><Relationship Id="rId47" Type="http://schemas.openxmlformats.org/officeDocument/2006/relationships/chart" Target="charts/chart26.xml"/><Relationship Id="rId50" Type="http://schemas.openxmlformats.org/officeDocument/2006/relationships/chart" Target="charts/chart29.xml"/><Relationship Id="rId55" Type="http://schemas.openxmlformats.org/officeDocument/2006/relationships/hyperlink" Target="http://bna.birds.cornell.edu/bna/species/17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chart" Target="charts/chart8.xml"/><Relationship Id="rId11" Type="http://schemas.openxmlformats.org/officeDocument/2006/relationships/header" Target="header2.xml"/><Relationship Id="rId24" Type="http://schemas.openxmlformats.org/officeDocument/2006/relationships/chart" Target="charts/chart3.xml"/><Relationship Id="rId32" Type="http://schemas.openxmlformats.org/officeDocument/2006/relationships/chart" Target="charts/chart11.xml"/><Relationship Id="rId37" Type="http://schemas.openxmlformats.org/officeDocument/2006/relationships/chart" Target="charts/chart16.xml"/><Relationship Id="rId40" Type="http://schemas.openxmlformats.org/officeDocument/2006/relationships/chart" Target="charts/chart19.xml"/><Relationship Id="rId45" Type="http://schemas.openxmlformats.org/officeDocument/2006/relationships/chart" Target="charts/chart24.xml"/><Relationship Id="rId53" Type="http://schemas.openxmlformats.org/officeDocument/2006/relationships/chart" Target="charts/chart32.xml"/><Relationship Id="rId58" Type="http://schemas.openxmlformats.org/officeDocument/2006/relationships/customXml" Target="../customXml/item2.xml"/><Relationship Id="rId5" Type="http://schemas.openxmlformats.org/officeDocument/2006/relationships/settings" Target="settings.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chart" Target="charts/chart14.xml"/><Relationship Id="rId43" Type="http://schemas.openxmlformats.org/officeDocument/2006/relationships/chart" Target="charts/chart22.xml"/><Relationship Id="rId48" Type="http://schemas.openxmlformats.org/officeDocument/2006/relationships/chart" Target="charts/chart27.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30.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hart" Target="charts/chart4.xml"/><Relationship Id="rId33" Type="http://schemas.openxmlformats.org/officeDocument/2006/relationships/chart" Target="charts/chart12.xml"/><Relationship Id="rId38" Type="http://schemas.openxmlformats.org/officeDocument/2006/relationships/chart" Target="charts/chart17.xml"/><Relationship Id="rId46" Type="http://schemas.openxmlformats.org/officeDocument/2006/relationships/chart" Target="charts/chart25.xml"/><Relationship Id="rId59" Type="http://schemas.openxmlformats.org/officeDocument/2006/relationships/customXml" Target="../customXml/item3.xml"/><Relationship Id="rId20" Type="http://schemas.openxmlformats.org/officeDocument/2006/relationships/image" Target="media/image7.wmf"/><Relationship Id="rId41" Type="http://schemas.openxmlformats.org/officeDocument/2006/relationships/chart" Target="charts/chart20.xml"/><Relationship Id="rId54" Type="http://schemas.openxmlformats.org/officeDocument/2006/relationships/hyperlink" Target="http://www.epa.gov/oppefed1/ecorisk/terrreport.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chart" Target="charts/chart2.xml"/><Relationship Id="rId28" Type="http://schemas.openxmlformats.org/officeDocument/2006/relationships/chart" Target="charts/chart7.xml"/><Relationship Id="rId36" Type="http://schemas.openxmlformats.org/officeDocument/2006/relationships/chart" Target="charts/chart15.xml"/><Relationship Id="rId49" Type="http://schemas.openxmlformats.org/officeDocument/2006/relationships/chart" Target="charts/chart28.xml"/><Relationship Id="rId5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chart" Target="charts/chart10.xml"/><Relationship Id="rId44" Type="http://schemas.openxmlformats.org/officeDocument/2006/relationships/chart" Target="charts/chart23.xml"/><Relationship Id="rId52" Type="http://schemas.openxmlformats.org/officeDocument/2006/relationships/chart" Target="charts/chart31.xml"/><Relationship Id="rId60"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oleObject" Target="file:///C:\Intrinsik\Farallones%20Islands\Intrinsik%20Risk%20Model\Western%20Gull%20Risk%20Model%205%20-%20Brodifacoum.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Intrinsik\Farallones%20Islands\Western%20Gull%20Risk%20Model%203.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Sensitivity%20Analysis%20Results.xlsm"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Intrinsik\Farallones%20Islands\Intrinsik%20Risk%20Model\Copy%20of%20Farallones%20Modeling%20Results.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Copy%20of%20Farallones%20Modeling%20Resul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olleen%20Greer\Desktop\Farallon%20Islands\Copy%20of%20Farallones%20Modeling%20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50519800048474"/>
          <c:y val="7.3326861539567884E-2"/>
          <c:w val="0.80422872023626157"/>
          <c:h val="0.80017381388970465"/>
        </c:manualLayout>
      </c:layout>
      <c:scatterChart>
        <c:scatterStyle val="lineMarker"/>
        <c:varyColors val="0"/>
        <c:ser>
          <c:idx val="0"/>
          <c:order val="0"/>
          <c:tx>
            <c:v>Raw Data</c:v>
          </c:tx>
          <c:spPr>
            <a:ln w="28575">
              <a:noFill/>
            </a:ln>
          </c:spPr>
          <c:trendline>
            <c:trendlineType val="log"/>
            <c:dispRSqr val="0"/>
            <c:dispEq val="0"/>
          </c:trendline>
          <c:trendline>
            <c:trendlineType val="log"/>
            <c:dispRSqr val="1"/>
            <c:dispEq val="1"/>
            <c:trendlineLbl>
              <c:numFmt formatCode="General" sourceLinked="0"/>
            </c:trendlineLbl>
          </c:trendline>
          <c:trendline>
            <c:trendlineType val="log"/>
            <c:dispRSqr val="0"/>
            <c:dispEq val="0"/>
          </c:trendline>
          <c:trendline>
            <c:trendlineType val="log"/>
            <c:dispRSqr val="0"/>
            <c:dispEq val="0"/>
          </c:trendline>
          <c:trendline>
            <c:spPr>
              <a:ln w="28575">
                <a:solidFill>
                  <a:srgbClr val="00B050"/>
                </a:solidFill>
              </a:ln>
            </c:spPr>
            <c:trendlineType val="poly"/>
            <c:order val="2"/>
            <c:intercept val="1"/>
            <c:dispRSqr val="1"/>
            <c:dispEq val="1"/>
            <c:trendlineLbl>
              <c:layout>
                <c:manualLayout>
                  <c:x val="-6.4131044652282324E-2"/>
                  <c:y val="-0.65014777262436141"/>
                </c:manualLayout>
              </c:layout>
              <c:numFmt formatCode="General" sourceLinked="0"/>
              <c:txPr>
                <a:bodyPr/>
                <a:lstStyle/>
                <a:p>
                  <a:pPr>
                    <a:defRPr sz="1200">
                      <a:latin typeface="Times New Roman" pitchFamily="18" charset="0"/>
                      <a:cs typeface="Times New Roman" pitchFamily="18" charset="0"/>
                    </a:defRPr>
                  </a:pPr>
                  <a:endParaRPr lang="en-US"/>
                </a:p>
              </c:txPr>
            </c:trendlineLbl>
          </c:trendline>
          <c:xVal>
            <c:numRef>
              <c:f>'Proportion Mice Available'!$H$9:$H$19</c:f>
              <c:numCache>
                <c:formatCode>General</c:formatCode>
                <c:ptCount val="11"/>
                <c:pt idx="0">
                  <c:v>0</c:v>
                </c:pt>
                <c:pt idx="1">
                  <c:v>1</c:v>
                </c:pt>
                <c:pt idx="2">
                  <c:v>2</c:v>
                </c:pt>
                <c:pt idx="3">
                  <c:v>3</c:v>
                </c:pt>
                <c:pt idx="4">
                  <c:v>4</c:v>
                </c:pt>
                <c:pt idx="5">
                  <c:v>5</c:v>
                </c:pt>
                <c:pt idx="6">
                  <c:v>6</c:v>
                </c:pt>
                <c:pt idx="7">
                  <c:v>7</c:v>
                </c:pt>
                <c:pt idx="8">
                  <c:v>8</c:v>
                </c:pt>
                <c:pt idx="9">
                  <c:v>9</c:v>
                </c:pt>
              </c:numCache>
            </c:numRef>
          </c:xVal>
          <c:yVal>
            <c:numRef>
              <c:f>'Proportion Mice Available'!$I$9:$I$19</c:f>
              <c:numCache>
                <c:formatCode>0.000</c:formatCode>
                <c:ptCount val="11"/>
                <c:pt idx="0" formatCode="General">
                  <c:v>1</c:v>
                </c:pt>
                <c:pt idx="1">
                  <c:v>0.85500000000000065</c:v>
                </c:pt>
                <c:pt idx="2">
                  <c:v>0.63750000000000062</c:v>
                </c:pt>
                <c:pt idx="3">
                  <c:v>0.39833333333333332</c:v>
                </c:pt>
                <c:pt idx="4">
                  <c:v>0.27166666666666844</c:v>
                </c:pt>
                <c:pt idx="5">
                  <c:v>0.26083333333333325</c:v>
                </c:pt>
                <c:pt idx="6">
                  <c:v>0.17750000000000021</c:v>
                </c:pt>
                <c:pt idx="7">
                  <c:v>3.250000000000014E-2</c:v>
                </c:pt>
                <c:pt idx="8">
                  <c:v>2.1666666666666608E-2</c:v>
                </c:pt>
                <c:pt idx="9" formatCode="General">
                  <c:v>0</c:v>
                </c:pt>
              </c:numCache>
            </c:numRef>
          </c:yVal>
          <c:smooth val="0"/>
        </c:ser>
        <c:dLbls>
          <c:showLegendKey val="0"/>
          <c:showVal val="0"/>
          <c:showCatName val="0"/>
          <c:showSerName val="0"/>
          <c:showPercent val="0"/>
          <c:showBubbleSize val="0"/>
        </c:dLbls>
        <c:axId val="249987072"/>
        <c:axId val="249988992"/>
      </c:scatterChart>
      <c:valAx>
        <c:axId val="249987072"/>
        <c:scaling>
          <c:orientation val="minMax"/>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Days Since Onset of Symptoms</a:t>
                </a:r>
              </a:p>
            </c:rich>
          </c:tx>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249988992"/>
        <c:crosses val="autoZero"/>
        <c:crossBetween val="midCat"/>
        <c:minorUnit val="0.5"/>
      </c:valAx>
      <c:valAx>
        <c:axId val="249988992"/>
        <c:scaling>
          <c:orientation val="minMax"/>
          <c:max val="1"/>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Mice Available</a:t>
                </a:r>
              </a:p>
            </c:rich>
          </c:tx>
          <c:layout>
            <c:manualLayout>
              <c:xMode val="edge"/>
              <c:yMode val="edge"/>
              <c:x val="2.9068056633765837E-2"/>
              <c:y val="0.26744492554868998"/>
            </c:manualLayout>
          </c:layout>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249987072"/>
        <c:crosses val="autoZero"/>
        <c:crossBetween val="midCat"/>
        <c:majorUnit val="0.2"/>
        <c:minorUnit val="5.0000000000000114E-2"/>
      </c:valAx>
    </c:plotArea>
    <c:legend>
      <c:legendPos val="r"/>
      <c:legendEntry>
        <c:idx val="1"/>
        <c:delete val="1"/>
      </c:legendEntry>
      <c:legendEntry>
        <c:idx val="2"/>
        <c:delete val="1"/>
      </c:legendEntry>
      <c:legendEntry>
        <c:idx val="3"/>
        <c:delete val="1"/>
      </c:legendEntry>
      <c:legendEntry>
        <c:idx val="4"/>
        <c:delete val="1"/>
      </c:legendEntry>
      <c:layout>
        <c:manualLayout>
          <c:xMode val="edge"/>
          <c:yMode val="edge"/>
          <c:x val="0.51212302687516176"/>
          <c:y val="0.24929431766235832"/>
          <c:w val="0.23550347286401421"/>
          <c:h val="9.8241469816274268E-2"/>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21759259259402"/>
          <c:y val="4.7222222222222332E-2"/>
          <c:w val="0.8113194444444447"/>
          <c:h val="0.75345269341332655"/>
        </c:manualLayout>
      </c:layout>
      <c:barChart>
        <c:barDir val="col"/>
        <c:grouping val="clustered"/>
        <c:varyColors val="0"/>
        <c:ser>
          <c:idx val="0"/>
          <c:order val="0"/>
          <c:invertIfNegative val="0"/>
          <c:cat>
            <c:numLit>
              <c:formatCode>General</c:formatCode>
              <c:ptCount val="3"/>
              <c:pt idx="0">
                <c:v>4</c:v>
              </c:pt>
              <c:pt idx="1">
                <c:v>28</c:v>
              </c:pt>
              <c:pt idx="2">
                <c:v>117</c:v>
              </c:pt>
            </c:numLit>
          </c:cat>
          <c:val>
            <c:numRef>
              <c:f>(Brodifacoum!$I$79,Brodifacoum!$I$31,Brodifacoum!$I$127)</c:f>
              <c:numCache>
                <c:formatCode>General</c:formatCode>
                <c:ptCount val="3"/>
                <c:pt idx="0">
                  <c:v>704</c:v>
                </c:pt>
                <c:pt idx="1">
                  <c:v>980</c:v>
                </c:pt>
                <c:pt idx="2">
                  <c:v>1050</c:v>
                </c:pt>
              </c:numCache>
            </c:numRef>
          </c:val>
        </c:ser>
        <c:dLbls>
          <c:showLegendKey val="0"/>
          <c:showVal val="0"/>
          <c:showCatName val="0"/>
          <c:showSerName val="0"/>
          <c:showPercent val="0"/>
          <c:showBubbleSize val="0"/>
        </c:dLbls>
        <c:gapWidth val="150"/>
        <c:axId val="283102592"/>
        <c:axId val="283117056"/>
      </c:barChart>
      <c:lineChart>
        <c:grouping val="standard"/>
        <c:varyColors val="0"/>
        <c:ser>
          <c:idx val="1"/>
          <c:order val="1"/>
          <c:spPr>
            <a:ln>
              <a:solidFill>
                <a:schemeClr val="tx1"/>
              </a:solidFill>
              <a:prstDash val="dash"/>
            </a:ln>
          </c:spPr>
          <c:marker>
            <c:symbol val="none"/>
          </c:marker>
          <c:val>
            <c:numRef>
              <c:f>Brodifacoum!$S$3:$S$5</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283102592"/>
        <c:axId val="283117056"/>
      </c:lineChart>
      <c:catAx>
        <c:axId val="283102592"/>
        <c:scaling>
          <c:orientation val="minMax"/>
        </c:scaling>
        <c:delete val="0"/>
        <c:axPos val="b"/>
        <c:title>
          <c:tx>
            <c:rich>
              <a:bodyPr/>
              <a:lstStyle/>
              <a:p>
                <a:pPr>
                  <a:defRPr/>
                </a:pPr>
                <a:r>
                  <a:rPr lang="en-US"/>
                  <a:t>Time to Significant Rainfall Event (d)</a:t>
                </a:r>
              </a:p>
            </c:rich>
          </c:tx>
          <c:overlay val="0"/>
        </c:title>
        <c:numFmt formatCode="General" sourceLinked="1"/>
        <c:majorTickMark val="none"/>
        <c:minorTickMark val="none"/>
        <c:tickLblPos val="nextTo"/>
        <c:spPr>
          <a:ln w="28575">
            <a:solidFill>
              <a:schemeClr val="tx1"/>
            </a:solidFill>
          </a:ln>
        </c:spPr>
        <c:crossAx val="283117056"/>
        <c:crosses val="autoZero"/>
        <c:auto val="1"/>
        <c:lblAlgn val="ctr"/>
        <c:lblOffset val="100"/>
        <c:noMultiLvlLbl val="0"/>
      </c:catAx>
      <c:valAx>
        <c:axId val="283117056"/>
        <c:scaling>
          <c:orientation val="minMax"/>
        </c:scaling>
        <c:delete val="0"/>
        <c:axPos val="l"/>
        <c:title>
          <c:tx>
            <c:rich>
              <a:bodyPr rot="-5400000" vert="horz"/>
              <a:lstStyle/>
              <a:p>
                <a:pPr>
                  <a:defRPr/>
                </a:pPr>
                <a:r>
                  <a:rPr lang="en-US"/>
                  <a:t>Number Dead Gulls (#/11,000</a:t>
                </a:r>
                <a:r>
                  <a:rPr lang="en-US" baseline="0"/>
                  <a:t> Birds)</a:t>
                </a:r>
                <a:endParaRPr lang="en-US"/>
              </a:p>
            </c:rich>
          </c:tx>
          <c:layout>
            <c:manualLayout>
              <c:xMode val="edge"/>
              <c:yMode val="edge"/>
              <c:x val="3.0092592592592591E-2"/>
              <c:y val="4.7222222222222332E-2"/>
            </c:manualLayout>
          </c:layout>
          <c:overlay val="0"/>
        </c:title>
        <c:numFmt formatCode="General" sourceLinked="1"/>
        <c:majorTickMark val="in"/>
        <c:minorTickMark val="in"/>
        <c:tickLblPos val="nextTo"/>
        <c:spPr>
          <a:ln w="28575">
            <a:solidFill>
              <a:schemeClr val="tx1"/>
            </a:solidFill>
          </a:ln>
        </c:spPr>
        <c:crossAx val="283102592"/>
        <c:crosses val="autoZero"/>
        <c:crossBetween val="between"/>
        <c:majorUnit val="4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(Brodifacoum!$H$147,Brodifacoum!$H$31)</c:f>
              <c:numCache>
                <c:formatCode>General</c:formatCode>
                <c:ptCount val="2"/>
                <c:pt idx="0">
                  <c:v>1.4400000000000001E-2</c:v>
                </c:pt>
                <c:pt idx="1">
                  <c:v>8.9200000000000043E-2</c:v>
                </c:pt>
              </c:numCache>
            </c:numRef>
          </c:val>
        </c:ser>
        <c:dLbls>
          <c:showLegendKey val="0"/>
          <c:showVal val="0"/>
          <c:showCatName val="0"/>
          <c:showSerName val="0"/>
          <c:showPercent val="0"/>
          <c:showBubbleSize val="0"/>
        </c:dLbls>
        <c:gapWidth val="150"/>
        <c:axId val="283124480"/>
        <c:axId val="283126400"/>
      </c:barChart>
      <c:catAx>
        <c:axId val="283124480"/>
        <c:scaling>
          <c:orientation val="minMax"/>
        </c:scaling>
        <c:delete val="0"/>
        <c:axPos val="b"/>
        <c:title>
          <c:tx>
            <c:rich>
              <a:bodyPr/>
              <a:lstStyle/>
              <a:p>
                <a:pPr>
                  <a:defRPr/>
                </a:pPr>
                <a:r>
                  <a:rPr lang="en-US"/>
                  <a:t>Number of Applications</a:t>
                </a:r>
              </a:p>
            </c:rich>
          </c:tx>
          <c:overlay val="0"/>
        </c:title>
        <c:majorTickMark val="none"/>
        <c:minorTickMark val="none"/>
        <c:tickLblPos val="nextTo"/>
        <c:spPr>
          <a:ln w="19050">
            <a:solidFill>
              <a:schemeClr val="tx1"/>
            </a:solidFill>
          </a:ln>
        </c:spPr>
        <c:crossAx val="283126400"/>
        <c:crosses val="autoZero"/>
        <c:auto val="1"/>
        <c:lblAlgn val="ctr"/>
        <c:lblOffset val="100"/>
        <c:noMultiLvlLbl val="0"/>
      </c:catAx>
      <c:valAx>
        <c:axId val="283126400"/>
        <c:scaling>
          <c:orientation val="minMax"/>
          <c:max val="0.1"/>
        </c:scaling>
        <c:delete val="0"/>
        <c:axPos val="l"/>
        <c:title>
          <c:tx>
            <c:rich>
              <a:bodyPr rot="-5400000" vert="horz"/>
              <a:lstStyle/>
              <a:p>
                <a:pPr>
                  <a:defRPr/>
                </a:pPr>
                <a:r>
                  <a:rPr lang="en-US"/>
                  <a:t>Proportion of Dead Gulls</a:t>
                </a:r>
              </a:p>
            </c:rich>
          </c:tx>
          <c:layout>
            <c:manualLayout>
              <c:xMode val="edge"/>
              <c:yMode val="edge"/>
              <c:x val="1.9444444444444445E-2"/>
              <c:y val="9.7719816272965859E-2"/>
            </c:manualLayout>
          </c:layout>
          <c:overlay val="0"/>
        </c:title>
        <c:numFmt formatCode="General" sourceLinked="1"/>
        <c:majorTickMark val="in"/>
        <c:minorTickMark val="in"/>
        <c:tickLblPos val="nextTo"/>
        <c:spPr>
          <a:ln w="19050">
            <a:solidFill>
              <a:schemeClr val="tx1"/>
            </a:solidFill>
          </a:ln>
        </c:spPr>
        <c:crossAx val="283124480"/>
        <c:crosses val="autoZero"/>
        <c:crossBetween val="between"/>
        <c:majorUnit val="2.0000000000000011E-2"/>
        <c:minorUnit val="5.0000000000000062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(Brodifacoum!$I$147,Brodifacoum!$I$31)</c:f>
              <c:numCache>
                <c:formatCode>General</c:formatCode>
                <c:ptCount val="2"/>
                <c:pt idx="0">
                  <c:v>158</c:v>
                </c:pt>
                <c:pt idx="1">
                  <c:v>980</c:v>
                </c:pt>
              </c:numCache>
            </c:numRef>
          </c:val>
        </c:ser>
        <c:dLbls>
          <c:showLegendKey val="0"/>
          <c:showVal val="0"/>
          <c:showCatName val="0"/>
          <c:showSerName val="0"/>
          <c:showPercent val="0"/>
          <c:showBubbleSize val="0"/>
        </c:dLbls>
        <c:gapWidth val="150"/>
        <c:axId val="283151744"/>
        <c:axId val="283153920"/>
      </c:barChart>
      <c:lineChart>
        <c:grouping val="standard"/>
        <c:varyColors val="0"/>
        <c:ser>
          <c:idx val="1"/>
          <c:order val="1"/>
          <c:spPr>
            <a:ln>
              <a:solidFill>
                <a:schemeClr val="tx1"/>
              </a:solidFill>
              <a:prstDash val="dash"/>
            </a:ln>
          </c:spPr>
          <c:marker>
            <c:symbol val="none"/>
          </c:marker>
          <c:val>
            <c:numRef>
              <c:f>Brodifacoum!$S$9:$S$10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283151744"/>
        <c:axId val="283153920"/>
      </c:lineChart>
      <c:catAx>
        <c:axId val="283151744"/>
        <c:scaling>
          <c:orientation val="minMax"/>
        </c:scaling>
        <c:delete val="0"/>
        <c:axPos val="b"/>
        <c:title>
          <c:tx>
            <c:rich>
              <a:bodyPr/>
              <a:lstStyle/>
              <a:p>
                <a:pPr>
                  <a:defRPr/>
                </a:pPr>
                <a:r>
                  <a:rPr lang="en-US"/>
                  <a:t>Number of Applications</a:t>
                </a:r>
              </a:p>
            </c:rich>
          </c:tx>
          <c:overlay val="0"/>
        </c:title>
        <c:majorTickMark val="none"/>
        <c:minorTickMark val="none"/>
        <c:tickLblPos val="nextTo"/>
        <c:spPr>
          <a:ln w="19050">
            <a:solidFill>
              <a:schemeClr val="tx1"/>
            </a:solidFill>
          </a:ln>
        </c:spPr>
        <c:crossAx val="283153920"/>
        <c:crosses val="autoZero"/>
        <c:auto val="1"/>
        <c:lblAlgn val="ctr"/>
        <c:lblOffset val="100"/>
        <c:noMultiLvlLbl val="0"/>
      </c:catAx>
      <c:valAx>
        <c:axId val="283153920"/>
        <c:scaling>
          <c:orientation val="minMax"/>
        </c:scaling>
        <c:delete val="0"/>
        <c:axPos val="l"/>
        <c:title>
          <c:tx>
            <c:rich>
              <a:bodyPr rot="-5400000" vert="horz"/>
              <a:lstStyle/>
              <a:p>
                <a:pPr>
                  <a:defRPr/>
                </a:pPr>
                <a:r>
                  <a:rPr lang="en-US"/>
                  <a:t>Number of Dead Gulls (#/11,000)</a:t>
                </a:r>
              </a:p>
            </c:rich>
          </c:tx>
          <c:overlay val="0"/>
        </c:title>
        <c:numFmt formatCode="General" sourceLinked="1"/>
        <c:majorTickMark val="in"/>
        <c:minorTickMark val="in"/>
        <c:tickLblPos val="nextTo"/>
        <c:spPr>
          <a:ln w="19050">
            <a:solidFill>
              <a:schemeClr val="tx1"/>
            </a:solidFill>
          </a:ln>
        </c:spPr>
        <c:crossAx val="283151744"/>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(Brodifacoum!$H$148,Brodifacoum!$H$31)</c:f>
              <c:numCache>
                <c:formatCode>General</c:formatCode>
                <c:ptCount val="2"/>
                <c:pt idx="0">
                  <c:v>8.9400000000000021E-2</c:v>
                </c:pt>
                <c:pt idx="1">
                  <c:v>8.9200000000000043E-2</c:v>
                </c:pt>
              </c:numCache>
            </c:numRef>
          </c:val>
        </c:ser>
        <c:dLbls>
          <c:showLegendKey val="0"/>
          <c:showVal val="0"/>
          <c:showCatName val="0"/>
          <c:showSerName val="0"/>
          <c:showPercent val="0"/>
          <c:showBubbleSize val="0"/>
        </c:dLbls>
        <c:gapWidth val="150"/>
        <c:axId val="283169920"/>
        <c:axId val="283171840"/>
      </c:barChart>
      <c:catAx>
        <c:axId val="283169920"/>
        <c:scaling>
          <c:orientation val="minMax"/>
        </c:scaling>
        <c:delete val="0"/>
        <c:axPos val="b"/>
        <c:title>
          <c:tx>
            <c:rich>
              <a:bodyPr/>
              <a:lstStyle/>
              <a:p>
                <a:pPr>
                  <a:defRPr/>
                </a:pPr>
                <a:r>
                  <a:rPr lang="en-US"/>
                  <a:t>Are Dead Mice Removed?</a:t>
                </a:r>
              </a:p>
            </c:rich>
          </c:tx>
          <c:overlay val="0"/>
        </c:title>
        <c:majorTickMark val="none"/>
        <c:minorTickMark val="none"/>
        <c:tickLblPos val="nextTo"/>
        <c:spPr>
          <a:ln w="19050">
            <a:solidFill>
              <a:schemeClr val="tx1"/>
            </a:solidFill>
          </a:ln>
        </c:spPr>
        <c:crossAx val="283171840"/>
        <c:crosses val="autoZero"/>
        <c:auto val="1"/>
        <c:lblAlgn val="ctr"/>
        <c:lblOffset val="100"/>
        <c:noMultiLvlLbl val="0"/>
      </c:catAx>
      <c:valAx>
        <c:axId val="283171840"/>
        <c:scaling>
          <c:orientation val="minMax"/>
          <c:max val="0.5"/>
          <c:min val="0"/>
        </c:scaling>
        <c:delete val="0"/>
        <c:axPos val="l"/>
        <c:title>
          <c:tx>
            <c:rich>
              <a:bodyPr rot="-5400000" vert="horz"/>
              <a:lstStyle/>
              <a:p>
                <a:pPr>
                  <a:defRPr/>
                </a:pPr>
                <a:r>
                  <a:rPr lang="en-US"/>
                  <a:t>Proportion of Dead Gulls</a:t>
                </a:r>
              </a:p>
            </c:rich>
          </c:tx>
          <c:layout>
            <c:manualLayout>
              <c:xMode val="edge"/>
              <c:yMode val="edge"/>
              <c:x val="1.6666666666666687E-2"/>
              <c:y val="9.7719816272965859E-2"/>
            </c:manualLayout>
          </c:layout>
          <c:overlay val="0"/>
        </c:title>
        <c:numFmt formatCode="General" sourceLinked="1"/>
        <c:majorTickMark val="in"/>
        <c:minorTickMark val="in"/>
        <c:tickLblPos val="nextTo"/>
        <c:spPr>
          <a:ln w="19050">
            <a:solidFill>
              <a:schemeClr val="tx1"/>
            </a:solidFill>
          </a:ln>
        </c:spPr>
        <c:crossAx val="283169920"/>
        <c:crosses val="autoZero"/>
        <c:crossBetween val="between"/>
        <c:majorUnit val="0.1"/>
        <c:minorUnit val="2.5000000000000012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(Brodifacoum!$I$148,Brodifacoum!$I$31)</c:f>
              <c:numCache>
                <c:formatCode>General</c:formatCode>
                <c:ptCount val="2"/>
                <c:pt idx="0">
                  <c:v>984</c:v>
                </c:pt>
                <c:pt idx="1">
                  <c:v>980</c:v>
                </c:pt>
              </c:numCache>
            </c:numRef>
          </c:val>
        </c:ser>
        <c:dLbls>
          <c:showLegendKey val="0"/>
          <c:showVal val="0"/>
          <c:showCatName val="0"/>
          <c:showSerName val="0"/>
          <c:showPercent val="0"/>
          <c:showBubbleSize val="0"/>
        </c:dLbls>
        <c:gapWidth val="150"/>
        <c:axId val="284590080"/>
        <c:axId val="284592000"/>
      </c:barChart>
      <c:lineChart>
        <c:grouping val="standard"/>
        <c:varyColors val="0"/>
        <c:ser>
          <c:idx val="1"/>
          <c:order val="1"/>
          <c:spPr>
            <a:ln>
              <a:solidFill>
                <a:schemeClr val="tx1"/>
              </a:solidFill>
              <a:prstDash val="dash"/>
            </a:ln>
          </c:spPr>
          <c:marker>
            <c:symbol val="none"/>
          </c:marker>
          <c:cat>
            <c:strLit>
              <c:ptCount val="2"/>
              <c:pt idx="0">
                <c:v>No</c:v>
              </c:pt>
              <c:pt idx="1">
                <c:v>Yes</c:v>
              </c:pt>
            </c:strLit>
          </c:cat>
          <c:val>
            <c:numRef>
              <c:f>Brodifacoum!$S$9:$S$10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284590080"/>
        <c:axId val="284592000"/>
      </c:lineChart>
      <c:catAx>
        <c:axId val="284590080"/>
        <c:scaling>
          <c:orientation val="minMax"/>
        </c:scaling>
        <c:delete val="0"/>
        <c:axPos val="b"/>
        <c:title>
          <c:tx>
            <c:rich>
              <a:bodyPr/>
              <a:lstStyle/>
              <a:p>
                <a:pPr>
                  <a:defRPr/>
                </a:pPr>
                <a:r>
                  <a:rPr lang="en-US"/>
                  <a:t>Are Dead Mice Removed?</a:t>
                </a:r>
              </a:p>
            </c:rich>
          </c:tx>
          <c:overlay val="0"/>
        </c:title>
        <c:majorTickMark val="none"/>
        <c:minorTickMark val="none"/>
        <c:tickLblPos val="nextTo"/>
        <c:spPr>
          <a:ln w="19050">
            <a:solidFill>
              <a:schemeClr val="tx1"/>
            </a:solidFill>
          </a:ln>
        </c:spPr>
        <c:crossAx val="284592000"/>
        <c:crosses val="autoZero"/>
        <c:auto val="1"/>
        <c:lblAlgn val="ctr"/>
        <c:lblOffset val="100"/>
        <c:noMultiLvlLbl val="0"/>
      </c:catAx>
      <c:valAx>
        <c:axId val="284592000"/>
        <c:scaling>
          <c:orientation val="minMax"/>
        </c:scaling>
        <c:delete val="0"/>
        <c:axPos val="l"/>
        <c:title>
          <c:tx>
            <c:rich>
              <a:bodyPr rot="-5400000" vert="horz"/>
              <a:lstStyle/>
              <a:p>
                <a:pPr>
                  <a:defRPr/>
                </a:pPr>
                <a:r>
                  <a:rPr lang="en-US"/>
                  <a:t>Number of Dead Gulls (#/11,000)</a:t>
                </a:r>
              </a:p>
            </c:rich>
          </c:tx>
          <c:overlay val="0"/>
        </c:title>
        <c:numFmt formatCode="General" sourceLinked="1"/>
        <c:majorTickMark val="in"/>
        <c:minorTickMark val="in"/>
        <c:tickLblPos val="nextTo"/>
        <c:spPr>
          <a:ln w="19050">
            <a:solidFill>
              <a:schemeClr val="tx1"/>
            </a:solidFill>
          </a:ln>
        </c:spPr>
        <c:crossAx val="284590080"/>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21759259259394"/>
          <c:y val="4.7222222222222332E-2"/>
          <c:w val="0.8113194444444447"/>
          <c:h val="0.75345269341332632"/>
        </c:manualLayout>
      </c:layout>
      <c:barChart>
        <c:barDir val="col"/>
        <c:grouping val="clustered"/>
        <c:varyColors val="0"/>
        <c:ser>
          <c:idx val="0"/>
          <c:order val="0"/>
          <c:invertIfNegative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Diphacinone!$H$27:$H$34</c:f>
              <c:numCache>
                <c:formatCode>0.0000</c:formatCode>
                <c:ptCount val="8"/>
                <c:pt idx="0">
                  <c:v>2.5366666666666666E-2</c:v>
                </c:pt>
                <c:pt idx="1">
                  <c:v>3.7066666666666671E-2</c:v>
                </c:pt>
                <c:pt idx="2">
                  <c:v>4.4100000000000014E-2</c:v>
                </c:pt>
                <c:pt idx="3">
                  <c:v>4.6033333333333523E-2</c:v>
                </c:pt>
                <c:pt idx="4">
                  <c:v>4.9966666666666833E-2</c:v>
                </c:pt>
                <c:pt idx="5">
                  <c:v>4.82E-2</c:v>
                </c:pt>
                <c:pt idx="6">
                  <c:v>4.8466666666666713E-2</c:v>
                </c:pt>
                <c:pt idx="7">
                  <c:v>4.9400000000000034E-2</c:v>
                </c:pt>
              </c:numCache>
            </c:numRef>
          </c:val>
        </c:ser>
        <c:dLbls>
          <c:showLegendKey val="0"/>
          <c:showVal val="0"/>
          <c:showCatName val="0"/>
          <c:showSerName val="0"/>
          <c:showPercent val="0"/>
          <c:showBubbleSize val="0"/>
        </c:dLbls>
        <c:gapWidth val="150"/>
        <c:axId val="284603904"/>
        <c:axId val="284605824"/>
      </c:barChart>
      <c:catAx>
        <c:axId val="284603904"/>
        <c:scaling>
          <c:orientation val="minMax"/>
        </c:scaling>
        <c:delete val="0"/>
        <c:axPos val="b"/>
        <c:title>
          <c:tx>
            <c:rich>
              <a:bodyPr/>
              <a:lstStyle/>
              <a:p>
                <a:pPr>
                  <a:defRPr/>
                </a:pPr>
                <a:r>
                  <a:rPr lang="en-US"/>
                  <a:t>Application Date</a:t>
                </a:r>
              </a:p>
            </c:rich>
          </c:tx>
          <c:overlay val="0"/>
        </c:title>
        <c:majorTickMark val="none"/>
        <c:minorTickMark val="none"/>
        <c:tickLblPos val="nextTo"/>
        <c:spPr>
          <a:ln w="28575">
            <a:solidFill>
              <a:schemeClr val="tx1"/>
            </a:solidFill>
          </a:ln>
        </c:spPr>
        <c:crossAx val="284605824"/>
        <c:crosses val="autoZero"/>
        <c:auto val="1"/>
        <c:lblAlgn val="ctr"/>
        <c:lblOffset val="100"/>
        <c:noMultiLvlLbl val="0"/>
      </c:catAx>
      <c:valAx>
        <c:axId val="284605824"/>
        <c:scaling>
          <c:orientation val="minMax"/>
        </c:scaling>
        <c:delete val="0"/>
        <c:axPos val="l"/>
        <c:title>
          <c:tx>
            <c:rich>
              <a:bodyPr rot="-5400000" vert="horz"/>
              <a:lstStyle/>
              <a:p>
                <a:pPr>
                  <a:defRPr/>
                </a:pPr>
                <a:r>
                  <a:rPr lang="en-US"/>
                  <a:t>Proportion of Dead Gulls</a:t>
                </a:r>
              </a:p>
            </c:rich>
          </c:tx>
          <c:layout>
            <c:manualLayout>
              <c:xMode val="edge"/>
              <c:yMode val="edge"/>
              <c:x val="3.0092592592592591E-2"/>
              <c:y val="0.1551884139482565"/>
            </c:manualLayout>
          </c:layout>
          <c:overlay val="0"/>
        </c:title>
        <c:numFmt formatCode="0.00" sourceLinked="0"/>
        <c:majorTickMark val="in"/>
        <c:minorTickMark val="in"/>
        <c:tickLblPos val="nextTo"/>
        <c:spPr>
          <a:ln w="28575">
            <a:solidFill>
              <a:schemeClr val="tx1"/>
            </a:solidFill>
          </a:ln>
        </c:spPr>
        <c:crossAx val="284603904"/>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784722222222306"/>
          <c:y val="4.7222222222222332E-2"/>
          <c:w val="0.80668981481481872"/>
          <c:h val="0.75345269341332632"/>
        </c:manualLayout>
      </c:layout>
      <c:barChart>
        <c:barDir val="col"/>
        <c:grouping val="clustered"/>
        <c:varyColors val="0"/>
        <c:ser>
          <c:idx val="0"/>
          <c:order val="0"/>
          <c:invertIfNegative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Diphacinone!$I$27:$I$34</c:f>
              <c:numCache>
                <c:formatCode>General</c:formatCode>
                <c:ptCount val="8"/>
                <c:pt idx="0">
                  <c:v>279</c:v>
                </c:pt>
                <c:pt idx="1">
                  <c:v>407</c:v>
                </c:pt>
                <c:pt idx="2">
                  <c:v>485</c:v>
                </c:pt>
                <c:pt idx="3">
                  <c:v>506</c:v>
                </c:pt>
                <c:pt idx="4">
                  <c:v>549</c:v>
                </c:pt>
                <c:pt idx="5">
                  <c:v>530</c:v>
                </c:pt>
                <c:pt idx="6">
                  <c:v>533</c:v>
                </c:pt>
                <c:pt idx="7">
                  <c:v>543</c:v>
                </c:pt>
              </c:numCache>
            </c:numRef>
          </c:val>
        </c:ser>
        <c:dLbls>
          <c:showLegendKey val="0"/>
          <c:showVal val="0"/>
          <c:showCatName val="0"/>
          <c:showSerName val="0"/>
          <c:showPercent val="0"/>
          <c:showBubbleSize val="0"/>
        </c:dLbls>
        <c:gapWidth val="150"/>
        <c:axId val="286671232"/>
        <c:axId val="286673152"/>
      </c:barChart>
      <c:lineChart>
        <c:grouping val="standard"/>
        <c:varyColors val="0"/>
        <c:ser>
          <c:idx val="1"/>
          <c:order val="1"/>
          <c:spPr>
            <a:ln>
              <a:solidFill>
                <a:schemeClr val="tx1"/>
              </a:solidFill>
              <a:prstDash val="dash"/>
            </a:ln>
          </c:spPr>
          <c:marker>
            <c:symbol val="none"/>
          </c:marker>
          <c:val>
            <c:numRef>
              <c:f>Diphacinone!$S$3:$S$10</c:f>
              <c:numCache>
                <c:formatCode>General</c:formatCode>
                <c:ptCount val="8"/>
                <c:pt idx="0">
                  <c:v>1700</c:v>
                </c:pt>
                <c:pt idx="1">
                  <c:v>1700</c:v>
                </c:pt>
                <c:pt idx="2">
                  <c:v>1700</c:v>
                </c:pt>
                <c:pt idx="3">
                  <c:v>1700</c:v>
                </c:pt>
                <c:pt idx="4">
                  <c:v>1700</c:v>
                </c:pt>
                <c:pt idx="5">
                  <c:v>1700</c:v>
                </c:pt>
                <c:pt idx="6">
                  <c:v>1700</c:v>
                </c:pt>
                <c:pt idx="7">
                  <c:v>1700</c:v>
                </c:pt>
              </c:numCache>
            </c:numRef>
          </c:val>
          <c:smooth val="0"/>
        </c:ser>
        <c:dLbls>
          <c:showLegendKey val="0"/>
          <c:showVal val="0"/>
          <c:showCatName val="0"/>
          <c:showSerName val="0"/>
          <c:showPercent val="0"/>
          <c:showBubbleSize val="0"/>
        </c:dLbls>
        <c:marker val="1"/>
        <c:smooth val="0"/>
        <c:axId val="286671232"/>
        <c:axId val="286673152"/>
      </c:lineChart>
      <c:catAx>
        <c:axId val="286671232"/>
        <c:scaling>
          <c:orientation val="minMax"/>
        </c:scaling>
        <c:delete val="0"/>
        <c:axPos val="b"/>
        <c:title>
          <c:tx>
            <c:rich>
              <a:bodyPr/>
              <a:lstStyle/>
              <a:p>
                <a:pPr>
                  <a:defRPr/>
                </a:pPr>
                <a:r>
                  <a:rPr lang="en-US"/>
                  <a:t>Application Date</a:t>
                </a:r>
              </a:p>
            </c:rich>
          </c:tx>
          <c:overlay val="0"/>
        </c:title>
        <c:majorTickMark val="none"/>
        <c:minorTickMark val="none"/>
        <c:tickLblPos val="nextTo"/>
        <c:spPr>
          <a:ln w="28575">
            <a:solidFill>
              <a:schemeClr val="tx1"/>
            </a:solidFill>
          </a:ln>
        </c:spPr>
        <c:crossAx val="286673152"/>
        <c:crosses val="autoZero"/>
        <c:auto val="1"/>
        <c:lblAlgn val="ctr"/>
        <c:lblOffset val="100"/>
        <c:noMultiLvlLbl val="0"/>
      </c:catAx>
      <c:valAx>
        <c:axId val="286673152"/>
        <c:scaling>
          <c:orientation val="minMax"/>
        </c:scaling>
        <c:delete val="0"/>
        <c:axPos val="l"/>
        <c:title>
          <c:tx>
            <c:rich>
              <a:bodyPr rot="-5400000" vert="horz"/>
              <a:lstStyle/>
              <a:p>
                <a:pPr>
                  <a:defRPr/>
                </a:pPr>
                <a:r>
                  <a:rPr lang="en-US"/>
                  <a:t>Number Dead Gulls (#/11,000 Birds)</a:t>
                </a:r>
              </a:p>
            </c:rich>
          </c:tx>
          <c:layout>
            <c:manualLayout>
              <c:xMode val="edge"/>
              <c:yMode val="edge"/>
              <c:x val="2.7777777777778092E-2"/>
              <c:y val="7.847237845269342E-2"/>
            </c:manualLayout>
          </c:layout>
          <c:overlay val="0"/>
        </c:title>
        <c:numFmt formatCode="General" sourceLinked="1"/>
        <c:majorTickMark val="in"/>
        <c:minorTickMark val="in"/>
        <c:tickLblPos val="nextTo"/>
        <c:spPr>
          <a:ln w="28575">
            <a:solidFill>
              <a:schemeClr val="tx1"/>
            </a:solidFill>
          </a:ln>
        </c:spPr>
        <c:crossAx val="286671232"/>
        <c:crosses val="autoZero"/>
        <c:crossBetween val="between"/>
        <c:majorUnit val="4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0.75000000000000078</c:v>
              </c:pt>
              <c:pt idx="1">
                <c:v>0.9</c:v>
              </c:pt>
              <c:pt idx="2">
                <c:v>0.95000000000000062</c:v>
              </c:pt>
              <c:pt idx="3">
                <c:v>0.98</c:v>
              </c:pt>
            </c:numLit>
          </c:cat>
          <c:val>
            <c:numRef>
              <c:f>(Diphacinone!$H$23,Diphacinone!$H$31,Diphacinone!$H$39,Diphacinone!$H$47)</c:f>
              <c:numCache>
                <c:formatCode>0.0000</c:formatCode>
                <c:ptCount val="4"/>
                <c:pt idx="0" formatCode="0.000">
                  <c:v>0.12156666666666671</c:v>
                </c:pt>
                <c:pt idx="1">
                  <c:v>4.9966666666666715E-2</c:v>
                </c:pt>
                <c:pt idx="2">
                  <c:v>2.47E-2</c:v>
                </c:pt>
                <c:pt idx="3" formatCode="0.00000">
                  <c:v>9.2666666666666765E-3</c:v>
                </c:pt>
              </c:numCache>
            </c:numRef>
          </c:val>
        </c:ser>
        <c:dLbls>
          <c:showLegendKey val="0"/>
          <c:showVal val="0"/>
          <c:showCatName val="0"/>
          <c:showSerName val="0"/>
          <c:showPercent val="0"/>
          <c:showBubbleSize val="0"/>
        </c:dLbls>
        <c:gapWidth val="150"/>
        <c:axId val="286832512"/>
        <c:axId val="286998528"/>
      </c:barChart>
      <c:catAx>
        <c:axId val="286832512"/>
        <c:scaling>
          <c:orientation val="minMax"/>
        </c:scaling>
        <c:delete val="0"/>
        <c:axPos val="b"/>
        <c:title>
          <c:tx>
            <c:rich>
              <a:bodyPr/>
              <a:lstStyle/>
              <a:p>
                <a:pPr>
                  <a:defRPr/>
                </a:pPr>
                <a:r>
                  <a:rPr lang="en-US"/>
                  <a:t>Hazing Effectiveness</a:t>
                </a:r>
              </a:p>
            </c:rich>
          </c:tx>
          <c:overlay val="0"/>
        </c:title>
        <c:numFmt formatCode="General" sourceLinked="1"/>
        <c:majorTickMark val="none"/>
        <c:minorTickMark val="none"/>
        <c:tickLblPos val="nextTo"/>
        <c:spPr>
          <a:ln w="19050">
            <a:solidFill>
              <a:schemeClr val="tx1"/>
            </a:solidFill>
          </a:ln>
        </c:spPr>
        <c:crossAx val="286998528"/>
        <c:crosses val="autoZero"/>
        <c:auto val="1"/>
        <c:lblAlgn val="ctr"/>
        <c:lblOffset val="100"/>
        <c:noMultiLvlLbl val="0"/>
      </c:catAx>
      <c:valAx>
        <c:axId val="286998528"/>
        <c:scaling>
          <c:orientation val="minMax"/>
          <c:max val="0.2"/>
        </c:scaling>
        <c:delete val="0"/>
        <c:axPos val="l"/>
        <c:title>
          <c:tx>
            <c:rich>
              <a:bodyPr rot="-5400000" vert="horz"/>
              <a:lstStyle/>
              <a:p>
                <a:pPr>
                  <a:defRPr/>
                </a:pPr>
                <a:r>
                  <a:rPr lang="en-US"/>
                  <a:t>Proportion of Dead Gulls</a:t>
                </a:r>
              </a:p>
            </c:rich>
          </c:tx>
          <c:layout>
            <c:manualLayout>
              <c:xMode val="edge"/>
              <c:yMode val="edge"/>
              <c:x val="1.9444444444444445E-2"/>
              <c:y val="9.7719816272965859E-2"/>
            </c:manualLayout>
          </c:layout>
          <c:overlay val="0"/>
        </c:title>
        <c:numFmt formatCode="0.00" sourceLinked="0"/>
        <c:majorTickMark val="in"/>
        <c:minorTickMark val="in"/>
        <c:tickLblPos val="nextTo"/>
        <c:spPr>
          <a:ln w="19050">
            <a:solidFill>
              <a:schemeClr val="tx1"/>
            </a:solidFill>
          </a:ln>
        </c:spPr>
        <c:crossAx val="286832512"/>
        <c:crosses val="autoZero"/>
        <c:crossBetween val="between"/>
        <c:majorUnit val="0.05"/>
        <c:minorUnit val="1.0000000000000005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0.75000000000000078</c:v>
              </c:pt>
              <c:pt idx="1">
                <c:v>0.9</c:v>
              </c:pt>
              <c:pt idx="2">
                <c:v>0.95000000000000062</c:v>
              </c:pt>
              <c:pt idx="3">
                <c:v>0.98</c:v>
              </c:pt>
            </c:numLit>
          </c:cat>
          <c:val>
            <c:numRef>
              <c:f>(Diphacinone!$I$23,Diphacinone!$I$31,Diphacinone!$I$39,Diphacinone!$I$47)</c:f>
              <c:numCache>
                <c:formatCode>General</c:formatCode>
                <c:ptCount val="4"/>
                <c:pt idx="0">
                  <c:v>1337</c:v>
                </c:pt>
                <c:pt idx="1">
                  <c:v>549</c:v>
                </c:pt>
                <c:pt idx="2">
                  <c:v>271</c:v>
                </c:pt>
                <c:pt idx="3">
                  <c:v>101</c:v>
                </c:pt>
              </c:numCache>
            </c:numRef>
          </c:val>
        </c:ser>
        <c:dLbls>
          <c:showLegendKey val="0"/>
          <c:showVal val="0"/>
          <c:showCatName val="0"/>
          <c:showSerName val="0"/>
          <c:showPercent val="0"/>
          <c:showBubbleSize val="0"/>
        </c:dLbls>
        <c:gapWidth val="150"/>
        <c:axId val="287576832"/>
        <c:axId val="287578752"/>
      </c:barChart>
      <c:lineChart>
        <c:grouping val="standard"/>
        <c:varyColors val="0"/>
        <c:ser>
          <c:idx val="1"/>
          <c:order val="1"/>
          <c:spPr>
            <a:ln>
              <a:solidFill>
                <a:schemeClr val="tx1"/>
              </a:solidFill>
              <a:prstDash val="dash"/>
            </a:ln>
          </c:spPr>
          <c:marker>
            <c:symbol val="none"/>
          </c:marker>
          <c:val>
            <c:numRef>
              <c:f>Diphacinone!$S$3:$S$6</c:f>
              <c:numCache>
                <c:formatCode>General</c:formatCode>
                <c:ptCount val="4"/>
                <c:pt idx="0">
                  <c:v>1700</c:v>
                </c:pt>
                <c:pt idx="1">
                  <c:v>1700</c:v>
                </c:pt>
                <c:pt idx="2">
                  <c:v>1700</c:v>
                </c:pt>
                <c:pt idx="3">
                  <c:v>1700</c:v>
                </c:pt>
              </c:numCache>
            </c:numRef>
          </c:val>
          <c:smooth val="0"/>
        </c:ser>
        <c:dLbls>
          <c:showLegendKey val="0"/>
          <c:showVal val="0"/>
          <c:showCatName val="0"/>
          <c:showSerName val="0"/>
          <c:showPercent val="0"/>
          <c:showBubbleSize val="0"/>
        </c:dLbls>
        <c:marker val="1"/>
        <c:smooth val="0"/>
        <c:axId val="287576832"/>
        <c:axId val="287578752"/>
      </c:lineChart>
      <c:catAx>
        <c:axId val="287576832"/>
        <c:scaling>
          <c:orientation val="minMax"/>
        </c:scaling>
        <c:delete val="0"/>
        <c:axPos val="b"/>
        <c:title>
          <c:tx>
            <c:rich>
              <a:bodyPr/>
              <a:lstStyle/>
              <a:p>
                <a:pPr>
                  <a:defRPr/>
                </a:pPr>
                <a:r>
                  <a:rPr lang="en-US"/>
                  <a:t>Hazing Effectiveness</a:t>
                </a:r>
              </a:p>
            </c:rich>
          </c:tx>
          <c:overlay val="0"/>
        </c:title>
        <c:numFmt formatCode="General" sourceLinked="1"/>
        <c:majorTickMark val="none"/>
        <c:minorTickMark val="none"/>
        <c:tickLblPos val="nextTo"/>
        <c:spPr>
          <a:ln w="19050">
            <a:solidFill>
              <a:schemeClr val="tx1"/>
            </a:solidFill>
          </a:ln>
        </c:spPr>
        <c:crossAx val="287578752"/>
        <c:crosses val="autoZero"/>
        <c:auto val="1"/>
        <c:lblAlgn val="ctr"/>
        <c:lblOffset val="100"/>
        <c:noMultiLvlLbl val="0"/>
      </c:catAx>
      <c:valAx>
        <c:axId val="287578752"/>
        <c:scaling>
          <c:orientation val="minMax"/>
        </c:scaling>
        <c:delete val="0"/>
        <c:axPos val="l"/>
        <c:title>
          <c:tx>
            <c:rich>
              <a:bodyPr rot="-5400000" vert="horz"/>
              <a:lstStyle/>
              <a:p>
                <a:pPr>
                  <a:defRPr/>
                </a:pPr>
                <a:r>
                  <a:rPr lang="en-US"/>
                  <a:t>Number of Dead Gulls (#/11,000)</a:t>
                </a:r>
              </a:p>
            </c:rich>
          </c:tx>
          <c:layout>
            <c:manualLayout>
              <c:xMode val="edge"/>
              <c:yMode val="edge"/>
              <c:x val="1.3888888888888911E-2"/>
              <c:y val="0.1301272236803733"/>
            </c:manualLayout>
          </c:layout>
          <c:overlay val="0"/>
        </c:title>
        <c:numFmt formatCode="General" sourceLinked="1"/>
        <c:majorTickMark val="in"/>
        <c:minorTickMark val="none"/>
        <c:tickLblPos val="nextTo"/>
        <c:spPr>
          <a:ln w="19050">
            <a:solidFill>
              <a:schemeClr val="tx1"/>
            </a:solidFill>
          </a:ln>
        </c:spPr>
        <c:crossAx val="287576832"/>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090277777777776"/>
          <c:y val="4.7222222222222332E-2"/>
          <c:w val="0.81363425925925925"/>
          <c:h val="0.75345269341332632"/>
        </c:manualLayout>
      </c:layout>
      <c:barChart>
        <c:barDir val="col"/>
        <c:grouping val="clustered"/>
        <c:varyColors val="0"/>
        <c:ser>
          <c:idx val="0"/>
          <c:order val="0"/>
          <c:invertIfNegative val="0"/>
          <c:cat>
            <c:numLit>
              <c:formatCode>General</c:formatCode>
              <c:ptCount val="3"/>
              <c:pt idx="0">
                <c:v>4</c:v>
              </c:pt>
              <c:pt idx="1">
                <c:v>28</c:v>
              </c:pt>
              <c:pt idx="2">
                <c:v>117</c:v>
              </c:pt>
            </c:numLit>
          </c:cat>
          <c:val>
            <c:numRef>
              <c:f>(Diphacinone!$H$79,Diphacinone!$H$31,Diphacinone!$H$127)</c:f>
              <c:numCache>
                <c:formatCode>0.0000</c:formatCode>
                <c:ptCount val="3"/>
                <c:pt idx="0">
                  <c:v>1.0133333333333333E-2</c:v>
                </c:pt>
                <c:pt idx="1">
                  <c:v>4.9966666666666833E-2</c:v>
                </c:pt>
                <c:pt idx="2">
                  <c:v>6.9633333333333949E-2</c:v>
                </c:pt>
              </c:numCache>
            </c:numRef>
          </c:val>
        </c:ser>
        <c:dLbls>
          <c:showLegendKey val="0"/>
          <c:showVal val="0"/>
          <c:showCatName val="0"/>
          <c:showSerName val="0"/>
          <c:showPercent val="0"/>
          <c:showBubbleSize val="0"/>
        </c:dLbls>
        <c:gapWidth val="150"/>
        <c:axId val="288622848"/>
        <c:axId val="288625024"/>
      </c:barChart>
      <c:catAx>
        <c:axId val="288622848"/>
        <c:scaling>
          <c:orientation val="minMax"/>
        </c:scaling>
        <c:delete val="0"/>
        <c:axPos val="b"/>
        <c:title>
          <c:tx>
            <c:rich>
              <a:bodyPr/>
              <a:lstStyle/>
              <a:p>
                <a:pPr>
                  <a:defRPr/>
                </a:pPr>
                <a:r>
                  <a:rPr lang="en-US"/>
                  <a:t>Time to Significant Rainfall Event (d)</a:t>
                </a:r>
              </a:p>
            </c:rich>
          </c:tx>
          <c:overlay val="0"/>
        </c:title>
        <c:numFmt formatCode="General" sourceLinked="1"/>
        <c:majorTickMark val="none"/>
        <c:minorTickMark val="none"/>
        <c:tickLblPos val="nextTo"/>
        <c:spPr>
          <a:ln w="28575">
            <a:solidFill>
              <a:schemeClr val="tx1"/>
            </a:solidFill>
          </a:ln>
        </c:spPr>
        <c:crossAx val="288625024"/>
        <c:crosses val="autoZero"/>
        <c:auto val="1"/>
        <c:lblAlgn val="ctr"/>
        <c:lblOffset val="100"/>
        <c:noMultiLvlLbl val="0"/>
      </c:catAx>
      <c:valAx>
        <c:axId val="288625024"/>
        <c:scaling>
          <c:orientation val="minMax"/>
        </c:scaling>
        <c:delete val="0"/>
        <c:axPos val="l"/>
        <c:title>
          <c:tx>
            <c:rich>
              <a:bodyPr rot="-5400000" vert="horz"/>
              <a:lstStyle/>
              <a:p>
                <a:pPr>
                  <a:defRPr/>
                </a:pPr>
                <a:r>
                  <a:rPr lang="en-US"/>
                  <a:t>Proportion of Dead Gulls</a:t>
                </a:r>
              </a:p>
            </c:rich>
          </c:tx>
          <c:layout>
            <c:manualLayout>
              <c:xMode val="edge"/>
              <c:yMode val="edge"/>
              <c:x val="2.7777777777778092E-2"/>
              <c:y val="0.1551884139482565"/>
            </c:manualLayout>
          </c:layout>
          <c:overlay val="0"/>
        </c:title>
        <c:numFmt formatCode="0.00" sourceLinked="0"/>
        <c:majorTickMark val="in"/>
        <c:minorTickMark val="in"/>
        <c:tickLblPos val="nextTo"/>
        <c:spPr>
          <a:ln w="28575">
            <a:solidFill>
              <a:schemeClr val="tx1"/>
            </a:solidFill>
          </a:ln>
        </c:spPr>
        <c:crossAx val="288622848"/>
        <c:crosses val="autoZero"/>
        <c:crossBetween val="between"/>
        <c:majorUnit val="2.0000000000000011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0941811576699"/>
          <c:y val="7.3744814156294983E-2"/>
          <c:w val="0.78846848558135163"/>
          <c:h val="0.76596753026840603"/>
        </c:manualLayout>
      </c:layout>
      <c:scatterChart>
        <c:scatterStyle val="smoothMarker"/>
        <c:varyColors val="0"/>
        <c:ser>
          <c:idx val="0"/>
          <c:order val="0"/>
          <c:tx>
            <c:v>Log-Probit Model</c:v>
          </c:tx>
          <c:marker>
            <c:symbol val="none"/>
          </c:marker>
          <c:xVal>
            <c:numRef>
              <c:f>'Dose-Response Curve'!$F$3:$F$109</c:f>
              <c:numCache>
                <c:formatCode>0.0000</c:formatCode>
                <c:ptCount val="107"/>
                <c:pt idx="0">
                  <c:v>1.4582724988302981E-2</c:v>
                </c:pt>
                <c:pt idx="1">
                  <c:v>2.2324393269808375E-2</c:v>
                </c:pt>
                <c:pt idx="2">
                  <c:v>2.7241372367271623E-2</c:v>
                </c:pt>
                <c:pt idx="3">
                  <c:v>4.5420413361774416E-2</c:v>
                </c:pt>
                <c:pt idx="4">
                  <c:v>5.8200948533437095E-2</c:v>
                </c:pt>
                <c:pt idx="5">
                  <c:v>7.6310944636619013E-2</c:v>
                </c:pt>
                <c:pt idx="6">
                  <c:v>9.0622549495326568E-2</c:v>
                </c:pt>
                <c:pt idx="7">
                  <c:v>0.10313169291980492</c:v>
                </c:pt>
                <c:pt idx="8">
                  <c:v>0.11456992151406548</c:v>
                </c:pt>
                <c:pt idx="9">
                  <c:v>0.12529973914434844</c:v>
                </c:pt>
                <c:pt idx="10">
                  <c:v>0.13553140093849494</c:v>
                </c:pt>
                <c:pt idx="11">
                  <c:v>0.14539961019385655</c:v>
                </c:pt>
                <c:pt idx="12">
                  <c:v>0.15499688699102251</c:v>
                </c:pt>
                <c:pt idx="13">
                  <c:v>0.16439017430428568</c:v>
                </c:pt>
                <c:pt idx="14">
                  <c:v>0.17362993055508821</c:v>
                </c:pt>
                <c:pt idx="15">
                  <c:v>0.18275547910428941</c:v>
                </c:pt>
                <c:pt idx="16">
                  <c:v>0.19179833770043225</c:v>
                </c:pt>
                <c:pt idx="17">
                  <c:v>0.20078438692558292</c:v>
                </c:pt>
                <c:pt idx="18">
                  <c:v>0.20973533651112103</c:v>
                </c:pt>
                <c:pt idx="19">
                  <c:v>0.21866974878710438</c:v>
                </c:pt>
                <c:pt idx="20">
                  <c:v>0.22760377274557267</c:v>
                </c:pt>
                <c:pt idx="21">
                  <c:v>0.23655168323175488</c:v>
                </c:pt>
                <c:pt idx="22">
                  <c:v>0.24552628546975941</c:v>
                </c:pt>
                <c:pt idx="23">
                  <c:v>0.25453922441964472</c:v>
                </c:pt>
                <c:pt idx="24">
                  <c:v>0.26360122555482068</c:v>
                </c:pt>
                <c:pt idx="25">
                  <c:v>0.27272228537461768</c:v>
                </c:pt>
                <c:pt idx="26">
                  <c:v>0.28191182452955132</c:v>
                </c:pt>
                <c:pt idx="27">
                  <c:v>0.29117881278446039</c:v>
                </c:pt>
                <c:pt idx="28">
                  <c:v>0.30053187254140634</c:v>
                </c:pt>
                <c:pt idx="29">
                  <c:v>0.30997936590000569</c:v>
                </c:pt>
                <c:pt idx="30">
                  <c:v>0.31952946899521828</c:v>
                </c:pt>
                <c:pt idx="31">
                  <c:v>0.32919023646544032</c:v>
                </c:pt>
                <c:pt idx="32">
                  <c:v>0.33896965825649888</c:v>
                </c:pt>
                <c:pt idx="33">
                  <c:v>0.34887571049229832</c:v>
                </c:pt>
                <c:pt idx="34">
                  <c:v>0.35891640179027368</c:v>
                </c:pt>
                <c:pt idx="35">
                  <c:v>0.36909981613590531</c:v>
                </c:pt>
                <c:pt idx="36">
                  <c:v>0.37943415323328444</c:v>
                </c:pt>
                <c:pt idx="37">
                  <c:v>0.38992776709942284</c:v>
                </c:pt>
                <c:pt idx="38">
                  <c:v>0.4005892035594335</c:v>
                </c:pt>
                <c:pt idx="39">
                  <c:v>0.41142723721672481</c:v>
                </c:pt>
                <c:pt idx="40">
                  <c:v>0.42245090841240668</c:v>
                </c:pt>
                <c:pt idx="41">
                  <c:v>0.4336695606466574</c:v>
                </c:pt>
                <c:pt idx="42">
                  <c:v>0.44509287890779131</c:v>
                </c:pt>
                <c:pt idx="43">
                  <c:v>0.45673092934048831</c:v>
                </c:pt>
                <c:pt idx="44">
                  <c:v>0.46859420068162383</c:v>
                </c:pt>
                <c:pt idx="45">
                  <c:v>0.48069364789915336</c:v>
                </c:pt>
                <c:pt idx="46">
                  <c:v>0.49304073848580332</c:v>
                </c:pt>
                <c:pt idx="47">
                  <c:v>0.50564750188527452</c:v>
                </c:pt>
                <c:pt idx="48">
                  <c:v>0.51852658256401596</c:v>
                </c:pt>
                <c:pt idx="49">
                  <c:v>0.53169129728712572</c:v>
                </c:pt>
                <c:pt idx="50">
                  <c:v>0.54515569721329626</c:v>
                </c:pt>
                <c:pt idx="51">
                  <c:v>0.55893463549262323</c:v>
                </c:pt>
                <c:pt idx="52">
                  <c:v>0.57304384113308915</c:v>
                </c:pt>
                <c:pt idx="53">
                  <c:v>0.58749999999999958</c:v>
                </c:pt>
                <c:pt idx="54">
                  <c:v>0.60232084392971375</c:v>
                </c:pt>
                <c:pt idx="55">
                  <c:v>0.61752524907638384</c:v>
                </c:pt>
                <c:pt idx="56">
                  <c:v>0.63313334477537753</c:v>
                </c:pt>
                <c:pt idx="57">
                  <c:v>0.64916663440066869</c:v>
                </c:pt>
                <c:pt idx="58">
                  <c:v>0.66564812992473565</c:v>
                </c:pt>
                <c:pt idx="59">
                  <c:v>0.68260250216426843</c:v>
                </c:pt>
                <c:pt idx="60">
                  <c:v>0.70005624902320029</c:v>
                </c:pt>
                <c:pt idx="61">
                  <c:v>0.71803788443739069</c:v>
                </c:pt>
                <c:pt idx="62">
                  <c:v>0.73657815119762626</c:v>
                </c:pt>
                <c:pt idx="63">
                  <c:v>0.75571026139701092</c:v>
                </c:pt>
                <c:pt idx="64">
                  <c:v>0.77547016893861642</c:v>
                </c:pt>
                <c:pt idx="65">
                  <c:v>0.79589687937823461</c:v>
                </c:pt>
                <c:pt idx="66">
                  <c:v>0.81703280340222317</c:v>
                </c:pt>
                <c:pt idx="67">
                  <c:v>0.83892416149926452</c:v>
                </c:pt>
                <c:pt idx="68">
                  <c:v>0.86162144893853221</c:v>
                </c:pt>
                <c:pt idx="69">
                  <c:v>0.88517997209470145</c:v>
                </c:pt>
                <c:pt idx="70">
                  <c:v>0.90966046956715152</c:v>
                </c:pt>
                <c:pt idx="71">
                  <c:v>0.93512983456191945</c:v>
                </c:pt>
                <c:pt idx="72">
                  <c:v>0.96166195882488503</c:v>
                </c:pt>
                <c:pt idx="73">
                  <c:v>0.98933872327468786</c:v>
                </c:pt>
                <c:pt idx="74">
                  <c:v>1.0182511667130631</c:v>
                </c:pt>
                <c:pt idx="75">
                  <c:v>1.0485008720367561</c:v>
                </c:pt>
                <c:pt idx="76">
                  <c:v>1.0802016198548998</c:v>
                </c:pt>
                <c:pt idx="77">
                  <c:v>1.1134813731806688</c:v>
                </c:pt>
                <c:pt idx="78">
                  <c:v>1.148484675123586</c:v>
                </c:pt>
                <c:pt idx="79">
                  <c:v>1.1853755659602707</c:v>
                </c:pt>
                <c:pt idx="80">
                  <c:v>1.2243411590698259</c:v>
                </c:pt>
                <c:pt idx="81">
                  <c:v>1.2655960605709158</c:v>
                </c:pt>
                <c:pt idx="82">
                  <c:v>1.3093878803997383</c:v>
                </c:pt>
                <c:pt idx="83">
                  <c:v>1.356004171015152</c:v>
                </c:pt>
                <c:pt idx="84">
                  <c:v>1.4057812561274718</c:v>
                </c:pt>
                <c:pt idx="85">
                  <c:v>1.4591155948860561</c:v>
                </c:pt>
                <c:pt idx="86">
                  <c:v>1.516478597153277</c:v>
                </c:pt>
                <c:pt idx="87">
                  <c:v>1.5784362122080478</c:v>
                </c:pt>
                <c:pt idx="88">
                  <c:v>1.645675238810828</c:v>
                </c:pt>
                <c:pt idx="89">
                  <c:v>1.7190392902806639</c:v>
                </c:pt>
                <c:pt idx="90">
                  <c:v>1.7995789438962981</c:v>
                </c:pt>
                <c:pt idx="91">
                  <c:v>1.8886232669557161</c:v>
                </c:pt>
                <c:pt idx="92">
                  <c:v>1.9878845133241079</c:v>
                </c:pt>
                <c:pt idx="93">
                  <c:v>2.0996160595408577</c:v>
                </c:pt>
                <c:pt idx="94">
                  <c:v>2.2268592402117209</c:v>
                </c:pt>
                <c:pt idx="95">
                  <c:v>2.3738457726249371</c:v>
                </c:pt>
                <c:pt idx="96">
                  <c:v>2.546688425043492</c:v>
                </c:pt>
                <c:pt idx="97">
                  <c:v>2.7546446014733608</c:v>
                </c:pt>
                <c:pt idx="98">
                  <c:v>3.0126253508659797</c:v>
                </c:pt>
                <c:pt idx="99">
                  <c:v>3.3467524892506666</c:v>
                </c:pt>
                <c:pt idx="100">
                  <c:v>3.8087236777398239</c:v>
                </c:pt>
                <c:pt idx="101">
                  <c:v>4.5230242089595345</c:v>
                </c:pt>
                <c:pt idx="102">
                  <c:v>5.9304231064499024</c:v>
                </c:pt>
                <c:pt idx="103">
                  <c:v>7.5991437429427124</c:v>
                </c:pt>
                <c:pt idx="104">
                  <c:v>12.67029595082705</c:v>
                </c:pt>
                <c:pt idx="105">
                  <c:v>15.460946500471804</c:v>
                </c:pt>
                <c:pt idx="106">
                  <c:v>23.66884449077746</c:v>
                </c:pt>
              </c:numCache>
            </c:numRef>
          </c:xVal>
          <c:yVal>
            <c:numRef>
              <c:f>'Dose-Response Curve'!$E$3:$E$109</c:f>
              <c:numCache>
                <c:formatCode>General</c:formatCode>
                <c:ptCount val="107"/>
                <c:pt idx="0">
                  <c:v>1.0000000000000005E-2</c:v>
                </c:pt>
                <c:pt idx="1">
                  <c:v>0.05</c:v>
                </c:pt>
                <c:pt idx="2">
                  <c:v>0.1</c:v>
                </c:pt>
                <c:pt idx="3">
                  <c:v>0.5</c:v>
                </c:pt>
                <c:pt idx="4">
                  <c:v>1</c:v>
                </c:pt>
                <c:pt idx="5">
                  <c:v>2</c:v>
                </c:pt>
                <c:pt idx="6">
                  <c:v>3</c:v>
                </c:pt>
                <c:pt idx="7">
                  <c:v>4</c:v>
                </c:pt>
                <c:pt idx="8">
                  <c:v>5</c:v>
                </c:pt>
                <c:pt idx="9">
                  <c:v>6</c:v>
                </c:pt>
                <c:pt idx="10">
                  <c:v>7</c:v>
                </c:pt>
                <c:pt idx="11">
                  <c:v>8</c:v>
                </c:pt>
                <c:pt idx="12">
                  <c:v>9</c:v>
                </c:pt>
                <c:pt idx="13">
                  <c:v>10</c:v>
                </c:pt>
                <c:pt idx="14">
                  <c:v>11</c:v>
                </c:pt>
                <c:pt idx="15">
                  <c:v>12</c:v>
                </c:pt>
                <c:pt idx="16">
                  <c:v>13</c:v>
                </c:pt>
                <c:pt idx="17">
                  <c:v>14</c:v>
                </c:pt>
                <c:pt idx="18">
                  <c:v>15</c:v>
                </c:pt>
                <c:pt idx="19">
                  <c:v>16</c:v>
                </c:pt>
                <c:pt idx="20">
                  <c:v>17</c:v>
                </c:pt>
                <c:pt idx="21">
                  <c:v>18</c:v>
                </c:pt>
                <c:pt idx="22">
                  <c:v>19</c:v>
                </c:pt>
                <c:pt idx="23">
                  <c:v>20</c:v>
                </c:pt>
                <c:pt idx="24">
                  <c:v>21</c:v>
                </c:pt>
                <c:pt idx="25">
                  <c:v>22</c:v>
                </c:pt>
                <c:pt idx="26">
                  <c:v>23</c:v>
                </c:pt>
                <c:pt idx="27">
                  <c:v>24</c:v>
                </c:pt>
                <c:pt idx="28">
                  <c:v>25</c:v>
                </c:pt>
                <c:pt idx="29">
                  <c:v>26</c:v>
                </c:pt>
                <c:pt idx="30">
                  <c:v>27</c:v>
                </c:pt>
                <c:pt idx="31">
                  <c:v>28</c:v>
                </c:pt>
                <c:pt idx="32">
                  <c:v>29</c:v>
                </c:pt>
                <c:pt idx="33">
                  <c:v>30</c:v>
                </c:pt>
                <c:pt idx="34">
                  <c:v>31</c:v>
                </c:pt>
                <c:pt idx="35">
                  <c:v>32</c:v>
                </c:pt>
                <c:pt idx="36">
                  <c:v>33</c:v>
                </c:pt>
                <c:pt idx="37">
                  <c:v>34</c:v>
                </c:pt>
                <c:pt idx="38">
                  <c:v>35</c:v>
                </c:pt>
                <c:pt idx="39">
                  <c:v>36</c:v>
                </c:pt>
                <c:pt idx="40">
                  <c:v>37</c:v>
                </c:pt>
                <c:pt idx="41">
                  <c:v>38</c:v>
                </c:pt>
                <c:pt idx="42">
                  <c:v>39</c:v>
                </c:pt>
                <c:pt idx="43">
                  <c:v>40</c:v>
                </c:pt>
                <c:pt idx="44">
                  <c:v>41</c:v>
                </c:pt>
                <c:pt idx="45">
                  <c:v>42</c:v>
                </c:pt>
                <c:pt idx="46">
                  <c:v>43</c:v>
                </c:pt>
                <c:pt idx="47">
                  <c:v>44</c:v>
                </c:pt>
                <c:pt idx="48">
                  <c:v>45</c:v>
                </c:pt>
                <c:pt idx="49">
                  <c:v>46</c:v>
                </c:pt>
                <c:pt idx="50">
                  <c:v>47</c:v>
                </c:pt>
                <c:pt idx="51">
                  <c:v>48</c:v>
                </c:pt>
                <c:pt idx="52">
                  <c:v>49</c:v>
                </c:pt>
                <c:pt idx="53">
                  <c:v>50</c:v>
                </c:pt>
                <c:pt idx="54">
                  <c:v>51</c:v>
                </c:pt>
                <c:pt idx="55">
                  <c:v>52</c:v>
                </c:pt>
                <c:pt idx="56">
                  <c:v>53</c:v>
                </c:pt>
                <c:pt idx="57">
                  <c:v>54</c:v>
                </c:pt>
                <c:pt idx="58">
                  <c:v>55</c:v>
                </c:pt>
                <c:pt idx="59">
                  <c:v>56</c:v>
                </c:pt>
                <c:pt idx="60">
                  <c:v>57</c:v>
                </c:pt>
                <c:pt idx="61">
                  <c:v>58</c:v>
                </c:pt>
                <c:pt idx="62">
                  <c:v>59</c:v>
                </c:pt>
                <c:pt idx="63">
                  <c:v>60</c:v>
                </c:pt>
                <c:pt idx="64">
                  <c:v>61</c:v>
                </c:pt>
                <c:pt idx="65">
                  <c:v>62</c:v>
                </c:pt>
                <c:pt idx="66">
                  <c:v>63</c:v>
                </c:pt>
                <c:pt idx="67">
                  <c:v>64</c:v>
                </c:pt>
                <c:pt idx="68">
                  <c:v>65</c:v>
                </c:pt>
                <c:pt idx="69">
                  <c:v>66</c:v>
                </c:pt>
                <c:pt idx="70">
                  <c:v>67</c:v>
                </c:pt>
                <c:pt idx="71">
                  <c:v>68</c:v>
                </c:pt>
                <c:pt idx="72">
                  <c:v>69</c:v>
                </c:pt>
                <c:pt idx="73">
                  <c:v>70</c:v>
                </c:pt>
                <c:pt idx="74">
                  <c:v>71</c:v>
                </c:pt>
                <c:pt idx="75">
                  <c:v>72</c:v>
                </c:pt>
                <c:pt idx="76">
                  <c:v>73</c:v>
                </c:pt>
                <c:pt idx="77">
                  <c:v>74</c:v>
                </c:pt>
                <c:pt idx="78">
                  <c:v>75</c:v>
                </c:pt>
                <c:pt idx="79">
                  <c:v>76</c:v>
                </c:pt>
                <c:pt idx="80">
                  <c:v>77</c:v>
                </c:pt>
                <c:pt idx="81">
                  <c:v>78</c:v>
                </c:pt>
                <c:pt idx="82">
                  <c:v>79</c:v>
                </c:pt>
                <c:pt idx="83">
                  <c:v>80</c:v>
                </c:pt>
                <c:pt idx="84">
                  <c:v>81</c:v>
                </c:pt>
                <c:pt idx="85">
                  <c:v>82</c:v>
                </c:pt>
                <c:pt idx="86">
                  <c:v>83</c:v>
                </c:pt>
                <c:pt idx="87">
                  <c:v>84</c:v>
                </c:pt>
                <c:pt idx="88">
                  <c:v>85</c:v>
                </c:pt>
                <c:pt idx="89">
                  <c:v>86</c:v>
                </c:pt>
                <c:pt idx="90">
                  <c:v>87</c:v>
                </c:pt>
                <c:pt idx="91">
                  <c:v>88</c:v>
                </c:pt>
                <c:pt idx="92">
                  <c:v>89</c:v>
                </c:pt>
                <c:pt idx="93">
                  <c:v>90</c:v>
                </c:pt>
                <c:pt idx="94">
                  <c:v>91</c:v>
                </c:pt>
                <c:pt idx="95">
                  <c:v>92</c:v>
                </c:pt>
                <c:pt idx="96">
                  <c:v>93</c:v>
                </c:pt>
                <c:pt idx="97">
                  <c:v>94</c:v>
                </c:pt>
                <c:pt idx="98">
                  <c:v>95</c:v>
                </c:pt>
                <c:pt idx="99">
                  <c:v>96</c:v>
                </c:pt>
                <c:pt idx="100">
                  <c:v>97</c:v>
                </c:pt>
                <c:pt idx="101">
                  <c:v>98</c:v>
                </c:pt>
                <c:pt idx="102">
                  <c:v>99</c:v>
                </c:pt>
                <c:pt idx="103">
                  <c:v>99.5</c:v>
                </c:pt>
                <c:pt idx="104">
                  <c:v>99.9</c:v>
                </c:pt>
                <c:pt idx="105">
                  <c:v>99.95</c:v>
                </c:pt>
                <c:pt idx="106">
                  <c:v>99.990000000000023</c:v>
                </c:pt>
              </c:numCache>
            </c:numRef>
          </c:yVal>
          <c:smooth val="1"/>
        </c:ser>
        <c:ser>
          <c:idx val="2"/>
          <c:order val="1"/>
          <c:tx>
            <c:v>95% Confidence Interval</c:v>
          </c:tx>
          <c:spPr>
            <a:ln w="15875">
              <a:solidFill>
                <a:schemeClr val="accent1"/>
              </a:solidFill>
              <a:prstDash val="dash"/>
            </a:ln>
          </c:spPr>
          <c:marker>
            <c:symbol val="none"/>
          </c:marker>
          <c:xVal>
            <c:numRef>
              <c:f>'Dose-Response Curve'!$S$3:$S$37</c:f>
              <c:numCache>
                <c:formatCode>General</c:formatCode>
                <c:ptCount val="35"/>
                <c:pt idx="0">
                  <c:v>5.4500000000000434E-3</c:v>
                </c:pt>
                <c:pt idx="1">
                  <c:v>9.0000000000000028E-3</c:v>
                </c:pt>
                <c:pt idx="2">
                  <c:v>1.235E-2</c:v>
                </c:pt>
                <c:pt idx="3">
                  <c:v>1.5699999999999999E-2</c:v>
                </c:pt>
                <c:pt idx="4">
                  <c:v>1.9050000000000001E-2</c:v>
                </c:pt>
                <c:pt idx="5">
                  <c:v>2.2450000000000012E-2</c:v>
                </c:pt>
                <c:pt idx="6">
                  <c:v>2.5900000000000006E-2</c:v>
                </c:pt>
                <c:pt idx="7">
                  <c:v>2.945E-2</c:v>
                </c:pt>
                <c:pt idx="8">
                  <c:v>3.3099999999999997E-2</c:v>
                </c:pt>
                <c:pt idx="9">
                  <c:v>3.6799999999999999E-2</c:v>
                </c:pt>
                <c:pt idx="10">
                  <c:v>5.7050000000000024E-2</c:v>
                </c:pt>
                <c:pt idx="11">
                  <c:v>8.0300000000000024E-2</c:v>
                </c:pt>
                <c:pt idx="12">
                  <c:v>0.10715000000000002</c:v>
                </c:pt>
                <c:pt idx="13">
                  <c:v>0.13800000000000001</c:v>
                </c:pt>
                <c:pt idx="14">
                  <c:v>0.17340000000000041</c:v>
                </c:pt>
                <c:pt idx="15">
                  <c:v>0.21390000000000275</c:v>
                </c:pt>
                <c:pt idx="16">
                  <c:v>0.2601</c:v>
                </c:pt>
                <c:pt idx="17">
                  <c:v>0.31250000000000461</c:v>
                </c:pt>
                <c:pt idx="18">
                  <c:v>0.37190000000000517</c:v>
                </c:pt>
                <c:pt idx="19">
                  <c:v>0.43920000000000031</c:v>
                </c:pt>
                <c:pt idx="20">
                  <c:v>0.51569999999999994</c:v>
                </c:pt>
                <c:pt idx="21">
                  <c:v>0.60350000000000004</c:v>
                </c:pt>
                <c:pt idx="22">
                  <c:v>0.70639999999999992</c:v>
                </c:pt>
                <c:pt idx="23">
                  <c:v>0.83119999999999994</c:v>
                </c:pt>
                <c:pt idx="24">
                  <c:v>0.99169999999999991</c:v>
                </c:pt>
                <c:pt idx="25">
                  <c:v>1.2203999999999815</c:v>
                </c:pt>
                <c:pt idx="26">
                  <c:v>1.2807499999999998</c:v>
                </c:pt>
                <c:pt idx="27">
                  <c:v>1.3488500000000001</c:v>
                </c:pt>
                <c:pt idx="28">
                  <c:v>1.42685</c:v>
                </c:pt>
                <c:pt idx="29">
                  <c:v>1.5181</c:v>
                </c:pt>
                <c:pt idx="30">
                  <c:v>1.62785</c:v>
                </c:pt>
                <c:pt idx="31">
                  <c:v>1.76505</c:v>
                </c:pt>
                <c:pt idx="32">
                  <c:v>1.9470499999999999</c:v>
                </c:pt>
                <c:pt idx="33">
                  <c:v>2.2141500000000001</c:v>
                </c:pt>
                <c:pt idx="34">
                  <c:v>2.7021499999999987</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3"/>
          <c:order val="2"/>
          <c:tx>
            <c:v>95% Confidence Interval</c:v>
          </c:tx>
          <c:spPr>
            <a:ln w="15875">
              <a:solidFill>
                <a:schemeClr val="accent1"/>
              </a:solidFill>
              <a:prstDash val="dash"/>
            </a:ln>
          </c:spPr>
          <c:marker>
            <c:symbol val="none"/>
          </c:marker>
          <c:xVal>
            <c:numRef>
              <c:f>'Dose-Response Curve'!$T$3:$T$37</c:f>
              <c:numCache>
                <c:formatCode>General</c:formatCode>
                <c:ptCount val="35"/>
                <c:pt idx="0">
                  <c:v>0.14440000000000044</c:v>
                </c:pt>
                <c:pt idx="1">
                  <c:v>0.17540000000000044</c:v>
                </c:pt>
                <c:pt idx="2">
                  <c:v>0.19869999999999999</c:v>
                </c:pt>
                <c:pt idx="3">
                  <c:v>0.21845000000000264</c:v>
                </c:pt>
                <c:pt idx="4">
                  <c:v>0.23605000000000001</c:v>
                </c:pt>
                <c:pt idx="5">
                  <c:v>0.25229999999999997</c:v>
                </c:pt>
                <c:pt idx="6">
                  <c:v>0.26755000000000001</c:v>
                </c:pt>
                <c:pt idx="7">
                  <c:v>0.28210000000000002</c:v>
                </c:pt>
                <c:pt idx="8">
                  <c:v>0.29615000000000002</c:v>
                </c:pt>
                <c:pt idx="9">
                  <c:v>0.30975000000000008</c:v>
                </c:pt>
                <c:pt idx="10">
                  <c:v>0.37455000000000038</c:v>
                </c:pt>
                <c:pt idx="11">
                  <c:v>0.43805000000000038</c:v>
                </c:pt>
                <c:pt idx="12">
                  <c:v>0.50380000000000003</c:v>
                </c:pt>
                <c:pt idx="13">
                  <c:v>0.57450000000000001</c:v>
                </c:pt>
                <c:pt idx="14">
                  <c:v>0.65285000000001181</c:v>
                </c:pt>
                <c:pt idx="15">
                  <c:v>0.74210000000000065</c:v>
                </c:pt>
                <c:pt idx="16">
                  <c:v>0.84654999999999991</c:v>
                </c:pt>
                <c:pt idx="17">
                  <c:v>0.97205000000000064</c:v>
                </c:pt>
                <c:pt idx="18">
                  <c:v>1.1269500000000001</c:v>
                </c:pt>
                <c:pt idx="19">
                  <c:v>1.3234999999999792</c:v>
                </c:pt>
                <c:pt idx="20">
                  <c:v>1.5806</c:v>
                </c:pt>
                <c:pt idx="21">
                  <c:v>1.9286500000000191</c:v>
                </c:pt>
                <c:pt idx="22">
                  <c:v>2.42015</c:v>
                </c:pt>
                <c:pt idx="23">
                  <c:v>3.1557499999999967</c:v>
                </c:pt>
                <c:pt idx="24">
                  <c:v>4.3566000000000003</c:v>
                </c:pt>
                <c:pt idx="25">
                  <c:v>6.6328499999999995</c:v>
                </c:pt>
                <c:pt idx="26">
                  <c:v>7.3552</c:v>
                </c:pt>
                <c:pt idx="27">
                  <c:v>8.2348000000000017</c:v>
                </c:pt>
                <c:pt idx="28">
                  <c:v>9.3305500000000023</c:v>
                </c:pt>
                <c:pt idx="29">
                  <c:v>10.736099999999999</c:v>
                </c:pt>
                <c:pt idx="30">
                  <c:v>12.610800000000001</c:v>
                </c:pt>
                <c:pt idx="31">
                  <c:v>15.251950000000001</c:v>
                </c:pt>
                <c:pt idx="32">
                  <c:v>19.294750000000001</c:v>
                </c:pt>
                <c:pt idx="33">
                  <c:v>26.424799999999689</c:v>
                </c:pt>
                <c:pt idx="34">
                  <c:v>43.527150000000013</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1"/>
          <c:order val="3"/>
          <c:tx>
            <c:v>Raw Data</c:v>
          </c:tx>
          <c:spPr>
            <a:ln>
              <a:noFill/>
            </a:ln>
          </c:spPr>
          <c:marker>
            <c:symbol val="diamond"/>
            <c:size val="7"/>
          </c:marker>
          <c:xVal>
            <c:numRef>
              <c:f>'Dose-Response Curve'!$B$5:$B$14</c:f>
              <c:numCache>
                <c:formatCode>0.0000</c:formatCode>
                <c:ptCount val="10"/>
                <c:pt idx="0">
                  <c:v>6.3851590106007078E-2</c:v>
                </c:pt>
                <c:pt idx="1">
                  <c:v>0.24133333333333631</c:v>
                </c:pt>
                <c:pt idx="2">
                  <c:v>0.28067796610169532</c:v>
                </c:pt>
                <c:pt idx="3">
                  <c:v>0.4581818181818183</c:v>
                </c:pt>
                <c:pt idx="4">
                  <c:v>1.1414769230769417</c:v>
                </c:pt>
                <c:pt idx="5">
                  <c:v>1.3287272727272719</c:v>
                </c:pt>
                <c:pt idx="6">
                  <c:v>2.8489999999999998</c:v>
                </c:pt>
                <c:pt idx="7">
                  <c:v>2.9516546762589924</c:v>
                </c:pt>
                <c:pt idx="8">
                  <c:v>5.4692000000000034</c:v>
                </c:pt>
                <c:pt idx="9">
                  <c:v>8.4120000000000008</c:v>
                </c:pt>
              </c:numCache>
            </c:numRef>
          </c:xVal>
          <c:yVal>
            <c:numRef>
              <c:f>'Dose-Response Curve'!$C$5:$C$14</c:f>
              <c:numCache>
                <c:formatCode>General</c:formatCode>
                <c:ptCount val="10"/>
                <c:pt idx="0">
                  <c:v>0</c:v>
                </c:pt>
                <c:pt idx="1">
                  <c:v>20</c:v>
                </c:pt>
                <c:pt idx="2">
                  <c:v>50</c:v>
                </c:pt>
                <c:pt idx="3">
                  <c:v>0</c:v>
                </c:pt>
                <c:pt idx="4">
                  <c:v>100</c:v>
                </c:pt>
                <c:pt idx="5">
                  <c:v>80</c:v>
                </c:pt>
                <c:pt idx="6">
                  <c:v>100</c:v>
                </c:pt>
                <c:pt idx="7">
                  <c:v>80</c:v>
                </c:pt>
                <c:pt idx="8">
                  <c:v>100</c:v>
                </c:pt>
                <c:pt idx="9">
                  <c:v>100</c:v>
                </c:pt>
              </c:numCache>
            </c:numRef>
          </c:yVal>
          <c:smooth val="1"/>
        </c:ser>
        <c:dLbls>
          <c:showLegendKey val="0"/>
          <c:showVal val="0"/>
          <c:showCatName val="0"/>
          <c:showSerName val="0"/>
          <c:showPercent val="0"/>
          <c:showBubbleSize val="0"/>
        </c:dLbls>
        <c:axId val="251570048"/>
        <c:axId val="251572224"/>
      </c:scatterChart>
      <c:valAx>
        <c:axId val="251570048"/>
        <c:scaling>
          <c:logBase val="10"/>
          <c:orientation val="minMax"/>
          <c:max val="10"/>
          <c:min val="1.0000000000000041E-3"/>
        </c:scaling>
        <c:delete val="0"/>
        <c:axPos val="b"/>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Dose (mg/kg bw)</a:t>
                </a:r>
              </a:p>
            </c:rich>
          </c:tx>
          <c:layout>
            <c:manualLayout>
              <c:xMode val="edge"/>
              <c:yMode val="edge"/>
              <c:x val="0.44502387722368747"/>
              <c:y val="0.90852468038269407"/>
            </c:manualLayout>
          </c:layout>
          <c:overlay val="0"/>
          <c:spPr>
            <a:noFill/>
            <a:ln w="25400">
              <a:noFill/>
            </a:ln>
          </c:spPr>
        </c:title>
        <c:numFmt formatCode="General" sourceLinked="0"/>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251572224"/>
        <c:crosses val="autoZero"/>
        <c:crossBetween val="midCat"/>
        <c:majorUnit val="10"/>
        <c:minorUnit val="10"/>
      </c:valAx>
      <c:valAx>
        <c:axId val="251572224"/>
        <c:scaling>
          <c:orientation val="minMax"/>
          <c:max val="100"/>
        </c:scaling>
        <c:delete val="0"/>
        <c:axPos val="l"/>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Mortality (%)</a:t>
                </a:r>
              </a:p>
            </c:rich>
          </c:tx>
          <c:layout>
            <c:manualLayout>
              <c:xMode val="edge"/>
              <c:yMode val="edge"/>
              <c:x val="3.0092592592592591E-2"/>
              <c:y val="0.34956333079332824"/>
            </c:manualLayout>
          </c:layout>
          <c:overlay val="0"/>
          <c:spPr>
            <a:noFill/>
            <a:ln w="25400">
              <a:noFill/>
            </a:ln>
          </c:spPr>
        </c:title>
        <c:numFmt formatCode="General" sourceLinked="1"/>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251570048"/>
        <c:crossesAt val="1.0000000000000041E-3"/>
        <c:crossBetween val="midCat"/>
        <c:majorUnit val="25"/>
        <c:minorUnit val="5"/>
      </c:valAx>
      <c:spPr>
        <a:noFill/>
        <a:ln w="25400">
          <a:noFill/>
        </a:ln>
      </c:spPr>
    </c:plotArea>
    <c:legend>
      <c:legendPos val="r"/>
      <c:legendEntry>
        <c:idx val="2"/>
        <c:delete val="1"/>
      </c:legendEntry>
      <c:layout>
        <c:manualLayout>
          <c:xMode val="edge"/>
          <c:yMode val="edge"/>
          <c:x val="0.21878463108778456"/>
          <c:y val="0.2165491914317223"/>
          <c:w val="0.39348388743074758"/>
          <c:h val="0.20688764710862756"/>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solidFill>
      <a:srgbClr val="FFFFFF"/>
    </a:solidFill>
    <a:ln w="9525">
      <a:noFill/>
    </a:ln>
  </c:spPr>
  <c:txPr>
    <a:bodyPr/>
    <a:lstStyle/>
    <a:p>
      <a:pPr>
        <a:defRPr sz="1175" b="0" i="0" u="none" strike="noStrike" baseline="0">
          <a:solidFill>
            <a:srgbClr val="000000"/>
          </a:solidFill>
          <a:latin typeface="Arial"/>
          <a:ea typeface="Arial"/>
          <a:cs typeface="Arial"/>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3"/>
              <c:pt idx="0">
                <c:v>4</c:v>
              </c:pt>
              <c:pt idx="1">
                <c:v>28</c:v>
              </c:pt>
              <c:pt idx="2">
                <c:v>117</c:v>
              </c:pt>
            </c:numLit>
          </c:cat>
          <c:val>
            <c:numRef>
              <c:f>(Diphacinone!$I$79,Diphacinone!$I$31,Diphacinone!$I$127)</c:f>
              <c:numCache>
                <c:formatCode>General</c:formatCode>
                <c:ptCount val="3"/>
                <c:pt idx="0">
                  <c:v>111</c:v>
                </c:pt>
                <c:pt idx="1">
                  <c:v>549</c:v>
                </c:pt>
                <c:pt idx="2">
                  <c:v>765</c:v>
                </c:pt>
              </c:numCache>
            </c:numRef>
          </c:val>
        </c:ser>
        <c:dLbls>
          <c:showLegendKey val="0"/>
          <c:showVal val="0"/>
          <c:showCatName val="0"/>
          <c:showSerName val="0"/>
          <c:showPercent val="0"/>
          <c:showBubbleSize val="0"/>
        </c:dLbls>
        <c:gapWidth val="150"/>
        <c:axId val="288646272"/>
        <c:axId val="288648192"/>
      </c:barChart>
      <c:lineChart>
        <c:grouping val="standard"/>
        <c:varyColors val="0"/>
        <c:ser>
          <c:idx val="1"/>
          <c:order val="1"/>
          <c:spPr>
            <a:ln>
              <a:solidFill>
                <a:sysClr val="windowText" lastClr="000000"/>
              </a:solidFill>
              <a:prstDash val="dash"/>
            </a:ln>
          </c:spPr>
          <c:marker>
            <c:symbol val="none"/>
          </c:marker>
          <c:val>
            <c:numRef>
              <c:f>Diphacinone!$S$8:$S$10</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288646272"/>
        <c:axId val="288648192"/>
      </c:lineChart>
      <c:catAx>
        <c:axId val="288646272"/>
        <c:scaling>
          <c:orientation val="minMax"/>
        </c:scaling>
        <c:delete val="0"/>
        <c:axPos val="b"/>
        <c:title>
          <c:tx>
            <c:rich>
              <a:bodyPr/>
              <a:lstStyle/>
              <a:p>
                <a:pPr>
                  <a:defRPr/>
                </a:pPr>
                <a:r>
                  <a:rPr lang="en-US"/>
                  <a:t>Time to Significant Rainfall Event (d)</a:t>
                </a:r>
              </a:p>
            </c:rich>
          </c:tx>
          <c:overlay val="0"/>
        </c:title>
        <c:numFmt formatCode="General" sourceLinked="1"/>
        <c:majorTickMark val="none"/>
        <c:minorTickMark val="none"/>
        <c:tickLblPos val="nextTo"/>
        <c:spPr>
          <a:ln w="28575">
            <a:solidFill>
              <a:schemeClr val="tx1"/>
            </a:solidFill>
          </a:ln>
        </c:spPr>
        <c:crossAx val="288648192"/>
        <c:crosses val="autoZero"/>
        <c:auto val="1"/>
        <c:lblAlgn val="ctr"/>
        <c:lblOffset val="100"/>
        <c:noMultiLvlLbl val="0"/>
      </c:catAx>
      <c:valAx>
        <c:axId val="288648192"/>
        <c:scaling>
          <c:orientation val="minMax"/>
        </c:scaling>
        <c:delete val="0"/>
        <c:axPos val="l"/>
        <c:title>
          <c:tx>
            <c:rich>
              <a:bodyPr rot="-5400000" vert="horz"/>
              <a:lstStyle/>
              <a:p>
                <a:pPr>
                  <a:defRPr/>
                </a:pPr>
                <a:r>
                  <a:rPr lang="en-US"/>
                  <a:t>Number Dead Gulls (#/11,000 Birds)</a:t>
                </a:r>
              </a:p>
            </c:rich>
          </c:tx>
          <c:overlay val="0"/>
        </c:title>
        <c:numFmt formatCode="General" sourceLinked="1"/>
        <c:majorTickMark val="in"/>
        <c:minorTickMark val="in"/>
        <c:tickLblPos val="nextTo"/>
        <c:spPr>
          <a:ln w="28575">
            <a:solidFill>
              <a:schemeClr val="tx1"/>
            </a:solidFill>
          </a:ln>
        </c:spPr>
        <c:crossAx val="288646272"/>
        <c:crosses val="autoZero"/>
        <c:crossBetween val="between"/>
        <c:majorUnit val="4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(Diphacinone!$H$147,Diphacinone!$H$148,Diphacinone!$H$31)</c:f>
              <c:numCache>
                <c:formatCode>0.00000</c:formatCode>
                <c:ptCount val="3"/>
                <c:pt idx="0" formatCode="General">
                  <c:v>0</c:v>
                </c:pt>
                <c:pt idx="1">
                  <c:v>2.0666666666666606E-4</c:v>
                </c:pt>
                <c:pt idx="2" formatCode="0.0000">
                  <c:v>4.9966666666666715E-2</c:v>
                </c:pt>
              </c:numCache>
            </c:numRef>
          </c:val>
        </c:ser>
        <c:dLbls>
          <c:showLegendKey val="0"/>
          <c:showVal val="0"/>
          <c:showCatName val="0"/>
          <c:showSerName val="0"/>
          <c:showPercent val="0"/>
          <c:showBubbleSize val="0"/>
        </c:dLbls>
        <c:gapWidth val="150"/>
        <c:axId val="288656000"/>
        <c:axId val="288674560"/>
      </c:barChart>
      <c:catAx>
        <c:axId val="288656000"/>
        <c:scaling>
          <c:orientation val="minMax"/>
        </c:scaling>
        <c:delete val="0"/>
        <c:axPos val="b"/>
        <c:title>
          <c:tx>
            <c:rich>
              <a:bodyPr/>
              <a:lstStyle/>
              <a:p>
                <a:pPr>
                  <a:defRPr/>
                </a:pPr>
                <a:r>
                  <a:rPr lang="en-US"/>
                  <a:t>Number of Applications</a:t>
                </a:r>
              </a:p>
            </c:rich>
          </c:tx>
          <c:overlay val="0"/>
        </c:title>
        <c:majorTickMark val="none"/>
        <c:minorTickMark val="none"/>
        <c:tickLblPos val="nextTo"/>
        <c:spPr>
          <a:ln w="19050">
            <a:solidFill>
              <a:schemeClr val="tx1"/>
            </a:solidFill>
          </a:ln>
        </c:spPr>
        <c:crossAx val="288674560"/>
        <c:crosses val="autoZero"/>
        <c:auto val="1"/>
        <c:lblAlgn val="ctr"/>
        <c:lblOffset val="100"/>
        <c:noMultiLvlLbl val="0"/>
      </c:catAx>
      <c:valAx>
        <c:axId val="288674560"/>
        <c:scaling>
          <c:orientation val="minMax"/>
          <c:max val="0.1"/>
        </c:scaling>
        <c:delete val="0"/>
        <c:axPos val="l"/>
        <c:title>
          <c:tx>
            <c:rich>
              <a:bodyPr rot="-5400000" vert="horz"/>
              <a:lstStyle/>
              <a:p>
                <a:pPr>
                  <a:defRPr/>
                </a:pPr>
                <a:r>
                  <a:rPr lang="en-US"/>
                  <a:t>Proportion of Dead Gulls</a:t>
                </a:r>
              </a:p>
            </c:rich>
          </c:tx>
          <c:layout>
            <c:manualLayout>
              <c:xMode val="edge"/>
              <c:yMode val="edge"/>
              <c:x val="1.3888888888888911E-2"/>
              <c:y val="9.7719816272965859E-2"/>
            </c:manualLayout>
          </c:layout>
          <c:overlay val="0"/>
        </c:title>
        <c:numFmt formatCode="General" sourceLinked="1"/>
        <c:majorTickMark val="in"/>
        <c:minorTickMark val="in"/>
        <c:tickLblPos val="nextTo"/>
        <c:spPr>
          <a:ln w="19050">
            <a:solidFill>
              <a:schemeClr val="tx1"/>
            </a:solidFill>
          </a:ln>
        </c:spPr>
        <c:crossAx val="288656000"/>
        <c:crosses val="autoZero"/>
        <c:crossBetween val="between"/>
        <c:majorUnit val="2.0000000000000011E-2"/>
        <c:minorUnit val="5.0000000000000062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(Diphacinone!$I$147:$I$148,Diphacinone!$I$31)</c:f>
              <c:numCache>
                <c:formatCode>General</c:formatCode>
                <c:ptCount val="3"/>
                <c:pt idx="0">
                  <c:v>0</c:v>
                </c:pt>
                <c:pt idx="1">
                  <c:v>2</c:v>
                </c:pt>
                <c:pt idx="2">
                  <c:v>549</c:v>
                </c:pt>
              </c:numCache>
            </c:numRef>
          </c:val>
        </c:ser>
        <c:dLbls>
          <c:showLegendKey val="0"/>
          <c:showVal val="0"/>
          <c:showCatName val="0"/>
          <c:showSerName val="0"/>
          <c:showPercent val="0"/>
          <c:showBubbleSize val="0"/>
        </c:dLbls>
        <c:gapWidth val="150"/>
        <c:axId val="288847360"/>
        <c:axId val="288849280"/>
      </c:barChart>
      <c:lineChart>
        <c:grouping val="standard"/>
        <c:varyColors val="0"/>
        <c:ser>
          <c:idx val="1"/>
          <c:order val="1"/>
          <c:spPr>
            <a:ln>
              <a:solidFill>
                <a:schemeClr val="tx1"/>
              </a:solidFill>
              <a:prstDash val="dash"/>
            </a:ln>
          </c:spPr>
          <c:marker>
            <c:symbol val="none"/>
          </c:marker>
          <c:val>
            <c:numRef>
              <c:f>Diphacinone!$S$8:$S$10</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288847360"/>
        <c:axId val="288849280"/>
      </c:lineChart>
      <c:catAx>
        <c:axId val="288847360"/>
        <c:scaling>
          <c:orientation val="minMax"/>
        </c:scaling>
        <c:delete val="0"/>
        <c:axPos val="b"/>
        <c:title>
          <c:tx>
            <c:rich>
              <a:bodyPr/>
              <a:lstStyle/>
              <a:p>
                <a:pPr>
                  <a:defRPr/>
                </a:pPr>
                <a:r>
                  <a:rPr lang="en-US"/>
                  <a:t>Number of Applications</a:t>
                </a:r>
              </a:p>
            </c:rich>
          </c:tx>
          <c:overlay val="0"/>
        </c:title>
        <c:majorTickMark val="none"/>
        <c:minorTickMark val="none"/>
        <c:tickLblPos val="nextTo"/>
        <c:spPr>
          <a:ln w="19050">
            <a:solidFill>
              <a:schemeClr val="tx1"/>
            </a:solidFill>
          </a:ln>
        </c:spPr>
        <c:crossAx val="288849280"/>
        <c:crosses val="autoZero"/>
        <c:auto val="1"/>
        <c:lblAlgn val="ctr"/>
        <c:lblOffset val="100"/>
        <c:noMultiLvlLbl val="0"/>
      </c:catAx>
      <c:valAx>
        <c:axId val="288849280"/>
        <c:scaling>
          <c:orientation val="minMax"/>
        </c:scaling>
        <c:delete val="0"/>
        <c:axPos val="l"/>
        <c:title>
          <c:tx>
            <c:rich>
              <a:bodyPr rot="-5400000" vert="horz"/>
              <a:lstStyle/>
              <a:p>
                <a:pPr>
                  <a:defRPr/>
                </a:pPr>
                <a:r>
                  <a:rPr lang="en-US"/>
                  <a:t>Number of Dead Gulls (#/11,000)</a:t>
                </a:r>
              </a:p>
            </c:rich>
          </c:tx>
          <c:overlay val="0"/>
        </c:title>
        <c:numFmt formatCode="General" sourceLinked="1"/>
        <c:majorTickMark val="in"/>
        <c:minorTickMark val="in"/>
        <c:tickLblPos val="nextTo"/>
        <c:spPr>
          <a:ln w="19050">
            <a:solidFill>
              <a:schemeClr val="tx1"/>
            </a:solidFill>
          </a:ln>
        </c:spPr>
        <c:crossAx val="288847360"/>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Diphacinone!$H$149:$H$150</c:f>
              <c:numCache>
                <c:formatCode>0.000</c:formatCode>
                <c:ptCount val="2"/>
                <c:pt idx="0" formatCode="General">
                  <c:v>4.8400000000000012E-2</c:v>
                </c:pt>
                <c:pt idx="1">
                  <c:v>4.8619999999999997E-2</c:v>
                </c:pt>
              </c:numCache>
            </c:numRef>
          </c:val>
        </c:ser>
        <c:dLbls>
          <c:showLegendKey val="0"/>
          <c:showVal val="0"/>
          <c:showCatName val="0"/>
          <c:showSerName val="0"/>
          <c:showPercent val="0"/>
          <c:showBubbleSize val="0"/>
        </c:dLbls>
        <c:gapWidth val="150"/>
        <c:axId val="288869376"/>
        <c:axId val="288871552"/>
      </c:barChart>
      <c:catAx>
        <c:axId val="288869376"/>
        <c:scaling>
          <c:orientation val="minMax"/>
        </c:scaling>
        <c:delete val="0"/>
        <c:axPos val="b"/>
        <c:title>
          <c:tx>
            <c:rich>
              <a:bodyPr/>
              <a:lstStyle/>
              <a:p>
                <a:pPr>
                  <a:defRPr/>
                </a:pPr>
                <a:r>
                  <a:rPr lang="en-US"/>
                  <a:t>Dead Mice Removed?</a:t>
                </a:r>
              </a:p>
            </c:rich>
          </c:tx>
          <c:overlay val="0"/>
        </c:title>
        <c:majorTickMark val="none"/>
        <c:minorTickMark val="none"/>
        <c:tickLblPos val="nextTo"/>
        <c:spPr>
          <a:ln w="19050">
            <a:solidFill>
              <a:schemeClr val="tx1"/>
            </a:solidFill>
          </a:ln>
        </c:spPr>
        <c:crossAx val="288871552"/>
        <c:crosses val="autoZero"/>
        <c:auto val="1"/>
        <c:lblAlgn val="ctr"/>
        <c:lblOffset val="100"/>
        <c:noMultiLvlLbl val="0"/>
      </c:catAx>
      <c:valAx>
        <c:axId val="288871552"/>
        <c:scaling>
          <c:orientation val="minMax"/>
          <c:max val="0.1"/>
          <c:min val="0"/>
        </c:scaling>
        <c:delete val="0"/>
        <c:axPos val="l"/>
        <c:title>
          <c:tx>
            <c:rich>
              <a:bodyPr rot="-5400000" vert="horz"/>
              <a:lstStyle/>
              <a:p>
                <a:pPr>
                  <a:defRPr/>
                </a:pPr>
                <a:r>
                  <a:rPr lang="en-US"/>
                  <a:t>Proportion of Dead Gulls</a:t>
                </a:r>
              </a:p>
            </c:rich>
          </c:tx>
          <c:layout>
            <c:manualLayout>
              <c:xMode val="edge"/>
              <c:yMode val="edge"/>
              <c:x val="1.3888888888888911E-2"/>
              <c:y val="9.7719816272965859E-2"/>
            </c:manualLayout>
          </c:layout>
          <c:overlay val="0"/>
        </c:title>
        <c:numFmt formatCode="General" sourceLinked="1"/>
        <c:majorTickMark val="in"/>
        <c:minorTickMark val="in"/>
        <c:tickLblPos val="nextTo"/>
        <c:spPr>
          <a:ln w="19050">
            <a:solidFill>
              <a:schemeClr val="tx1"/>
            </a:solidFill>
          </a:ln>
        </c:spPr>
        <c:crossAx val="288869376"/>
        <c:crosses val="autoZero"/>
        <c:crossBetween val="between"/>
        <c:majorUnit val="2.0000000000000011E-2"/>
        <c:minorUnit val="5.0000000000000062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Diphacinone!$I$149:$I$150</c:f>
              <c:strCache>
                <c:ptCount val="1"/>
                <c:pt idx="0">
                  <c:v>533 535</c:v>
                </c:pt>
              </c:strCache>
            </c:strRef>
          </c:tx>
          <c:invertIfNegative val="0"/>
          <c:cat>
            <c:strLit>
              <c:ptCount val="2"/>
              <c:pt idx="0">
                <c:v>Yes</c:v>
              </c:pt>
              <c:pt idx="1">
                <c:v>No</c:v>
              </c:pt>
            </c:strLit>
          </c:cat>
          <c:val>
            <c:numRef>
              <c:f>Diphacinone!$I$149:$I$150</c:f>
              <c:numCache>
                <c:formatCode>General</c:formatCode>
                <c:ptCount val="2"/>
                <c:pt idx="0">
                  <c:v>533</c:v>
                </c:pt>
                <c:pt idx="1">
                  <c:v>535</c:v>
                </c:pt>
              </c:numCache>
            </c:numRef>
          </c:val>
        </c:ser>
        <c:dLbls>
          <c:showLegendKey val="0"/>
          <c:showVal val="0"/>
          <c:showCatName val="0"/>
          <c:showSerName val="0"/>
          <c:showPercent val="0"/>
          <c:showBubbleSize val="0"/>
        </c:dLbls>
        <c:gapWidth val="150"/>
        <c:axId val="288888704"/>
        <c:axId val="288899072"/>
      </c:barChart>
      <c:lineChart>
        <c:grouping val="standard"/>
        <c:varyColors val="0"/>
        <c:ser>
          <c:idx val="1"/>
          <c:order val="1"/>
          <c:spPr>
            <a:ln>
              <a:solidFill>
                <a:schemeClr val="tx1"/>
              </a:solidFill>
              <a:prstDash val="dash"/>
            </a:ln>
          </c:spPr>
          <c:marker>
            <c:symbol val="none"/>
          </c:marker>
          <c:cat>
            <c:strLit>
              <c:ptCount val="2"/>
              <c:pt idx="0">
                <c:v>Yes</c:v>
              </c:pt>
              <c:pt idx="1">
                <c:v>No</c:v>
              </c:pt>
            </c:strLit>
          </c:cat>
          <c:val>
            <c:numRef>
              <c:f>Diphacinone!$S$9:$S$10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288888704"/>
        <c:axId val="288899072"/>
      </c:lineChart>
      <c:catAx>
        <c:axId val="288888704"/>
        <c:scaling>
          <c:orientation val="minMax"/>
        </c:scaling>
        <c:delete val="0"/>
        <c:axPos val="b"/>
        <c:title>
          <c:tx>
            <c:rich>
              <a:bodyPr/>
              <a:lstStyle/>
              <a:p>
                <a:pPr>
                  <a:defRPr/>
                </a:pPr>
                <a:r>
                  <a:rPr lang="en-US"/>
                  <a:t>Are Dead Mice Removed?</a:t>
                </a:r>
              </a:p>
            </c:rich>
          </c:tx>
          <c:overlay val="0"/>
        </c:title>
        <c:majorTickMark val="none"/>
        <c:minorTickMark val="none"/>
        <c:tickLblPos val="nextTo"/>
        <c:spPr>
          <a:ln w="19050">
            <a:solidFill>
              <a:schemeClr val="tx1"/>
            </a:solidFill>
          </a:ln>
        </c:spPr>
        <c:crossAx val="288899072"/>
        <c:crosses val="autoZero"/>
        <c:auto val="1"/>
        <c:lblAlgn val="ctr"/>
        <c:lblOffset val="100"/>
        <c:noMultiLvlLbl val="0"/>
      </c:catAx>
      <c:valAx>
        <c:axId val="288899072"/>
        <c:scaling>
          <c:orientation val="minMax"/>
        </c:scaling>
        <c:delete val="0"/>
        <c:axPos val="l"/>
        <c:title>
          <c:tx>
            <c:rich>
              <a:bodyPr rot="-5400000" vert="horz"/>
              <a:lstStyle/>
              <a:p>
                <a:pPr>
                  <a:defRPr/>
                </a:pPr>
                <a:r>
                  <a:rPr lang="en-US"/>
                  <a:t>Number Dead Gulls (#/11,000)</a:t>
                </a:r>
              </a:p>
            </c:rich>
          </c:tx>
          <c:overlay val="0"/>
        </c:title>
        <c:numFmt formatCode="General" sourceLinked="1"/>
        <c:majorTickMark val="in"/>
        <c:minorTickMark val="in"/>
        <c:tickLblPos val="nextTo"/>
        <c:spPr>
          <a:ln w="19050">
            <a:solidFill>
              <a:schemeClr val="tx1"/>
            </a:solidFill>
          </a:ln>
        </c:spPr>
        <c:crossAx val="288888704"/>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165775401069548E-2"/>
          <c:y val="3.0164765525982257E-2"/>
          <c:w val="0.86958819318708169"/>
          <c:h val="0.53168927078031591"/>
        </c:manualLayout>
      </c:layout>
      <c:barChart>
        <c:barDir val="col"/>
        <c:grouping val="clustered"/>
        <c:varyColors val="0"/>
        <c:ser>
          <c:idx val="0"/>
          <c:order val="0"/>
          <c:tx>
            <c:v>Best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graphs'!$C$3:$C$16</c:f>
              <c:numCache>
                <c:formatCode>General</c:formatCode>
                <c:ptCount val="14"/>
                <c:pt idx="0">
                  <c:v>0.24400000000000008</c:v>
                </c:pt>
                <c:pt idx="1">
                  <c:v>0.34400000000000008</c:v>
                </c:pt>
                <c:pt idx="2">
                  <c:v>3.1600000000000024E-2</c:v>
                </c:pt>
                <c:pt idx="3">
                  <c:v>6.6299999999999998E-2</c:v>
                </c:pt>
                <c:pt idx="4">
                  <c:v>0.36400000000000021</c:v>
                </c:pt>
                <c:pt idx="5">
                  <c:v>0.2</c:v>
                </c:pt>
                <c:pt idx="6">
                  <c:v>0.17760000000000001</c:v>
                </c:pt>
                <c:pt idx="7">
                  <c:v>0.34200000000000008</c:v>
                </c:pt>
                <c:pt idx="8">
                  <c:v>0.34000000000000008</c:v>
                </c:pt>
                <c:pt idx="9">
                  <c:v>0.31400000000000017</c:v>
                </c:pt>
                <c:pt idx="10">
                  <c:v>0.33400000000000024</c:v>
                </c:pt>
                <c:pt idx="11">
                  <c:v>0.31000000000000016</c:v>
                </c:pt>
                <c:pt idx="12">
                  <c:v>0.34200000000000008</c:v>
                </c:pt>
                <c:pt idx="13">
                  <c:v>0.34200000000000008</c:v>
                </c:pt>
              </c:numCache>
            </c:numRef>
          </c:val>
        </c:ser>
        <c:ser>
          <c:idx val="1"/>
          <c:order val="1"/>
          <c:tx>
            <c:v>Worst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graphs'!$G$3:$G$16</c:f>
              <c:numCache>
                <c:formatCode>General</c:formatCode>
                <c:ptCount val="14"/>
                <c:pt idx="0">
                  <c:v>0.34600000000000014</c:v>
                </c:pt>
                <c:pt idx="1">
                  <c:v>0.33000000000000024</c:v>
                </c:pt>
                <c:pt idx="2">
                  <c:v>0.34200000000000008</c:v>
                </c:pt>
                <c:pt idx="3">
                  <c:v>0.86500000000000032</c:v>
                </c:pt>
                <c:pt idx="4">
                  <c:v>0.34000000000000008</c:v>
                </c:pt>
                <c:pt idx="5">
                  <c:v>0.42400000000000021</c:v>
                </c:pt>
                <c:pt idx="6">
                  <c:v>0.22600000000000001</c:v>
                </c:pt>
                <c:pt idx="7">
                  <c:v>0.34200000000000008</c:v>
                </c:pt>
                <c:pt idx="8">
                  <c:v>0.34400000000000008</c:v>
                </c:pt>
                <c:pt idx="9">
                  <c:v>0.34200000000000008</c:v>
                </c:pt>
                <c:pt idx="10">
                  <c:v>0.34200000000000008</c:v>
                </c:pt>
                <c:pt idx="11">
                  <c:v>0.34200000000000008</c:v>
                </c:pt>
                <c:pt idx="12">
                  <c:v>0.34200000000000008</c:v>
                </c:pt>
                <c:pt idx="13">
                  <c:v>0.34200000000000008</c:v>
                </c:pt>
              </c:numCache>
            </c:numRef>
          </c:val>
        </c:ser>
        <c:dLbls>
          <c:showLegendKey val="0"/>
          <c:showVal val="0"/>
          <c:showCatName val="0"/>
          <c:showSerName val="0"/>
          <c:showPercent val="0"/>
          <c:showBubbleSize val="0"/>
        </c:dLbls>
        <c:gapWidth val="150"/>
        <c:axId val="288924032"/>
        <c:axId val="288925568"/>
      </c:barChart>
      <c:catAx>
        <c:axId val="288924032"/>
        <c:scaling>
          <c:orientation val="minMax"/>
        </c:scaling>
        <c:delete val="0"/>
        <c:axPos val="b"/>
        <c:majorTickMark val="none"/>
        <c:minorTickMark val="none"/>
        <c:tickLblPos val="nextTo"/>
        <c:spPr>
          <a:ln w="19050">
            <a:solidFill>
              <a:schemeClr val="tx1"/>
            </a:solidFill>
          </a:ln>
        </c:spPr>
        <c:txPr>
          <a:bodyPr/>
          <a:lstStyle/>
          <a:p>
            <a:pPr>
              <a:defRPr sz="1000"/>
            </a:pPr>
            <a:endParaRPr lang="en-US"/>
          </a:p>
        </c:txPr>
        <c:crossAx val="288925568"/>
        <c:crosses val="autoZero"/>
        <c:auto val="1"/>
        <c:lblAlgn val="ctr"/>
        <c:lblOffset val="100"/>
        <c:noMultiLvlLbl val="0"/>
      </c:catAx>
      <c:valAx>
        <c:axId val="288925568"/>
        <c:scaling>
          <c:orientation val="minMax"/>
        </c:scaling>
        <c:delete val="0"/>
        <c:axPos val="l"/>
        <c:title>
          <c:tx>
            <c:rich>
              <a:bodyPr rot="-5400000" vert="horz"/>
              <a:lstStyle/>
              <a:p>
                <a:pPr>
                  <a:defRPr sz="1200"/>
                </a:pPr>
                <a:r>
                  <a:rPr lang="en-US" sz="1200"/>
                  <a:t>Ingested Dose (mg ai/kg bw)</a:t>
                </a:r>
              </a:p>
            </c:rich>
          </c:tx>
          <c:layout>
            <c:manualLayout>
              <c:xMode val="edge"/>
              <c:yMode val="edge"/>
              <c:x val="6.7758597483006987E-3"/>
              <c:y val="7.1483430113624166E-2"/>
            </c:manualLayout>
          </c:layout>
          <c:overlay val="0"/>
        </c:title>
        <c:numFmt formatCode="General" sourceLinked="1"/>
        <c:majorTickMark val="in"/>
        <c:minorTickMark val="in"/>
        <c:tickLblPos val="nextTo"/>
        <c:spPr>
          <a:ln w="19050">
            <a:solidFill>
              <a:sysClr val="windowText" lastClr="000000"/>
            </a:solidFill>
          </a:ln>
        </c:spPr>
        <c:txPr>
          <a:bodyPr/>
          <a:lstStyle/>
          <a:p>
            <a:pPr>
              <a:defRPr sz="1200"/>
            </a:pPr>
            <a:endParaRPr lang="en-US"/>
          </a:p>
        </c:txPr>
        <c:crossAx val="288924032"/>
        <c:crosses val="autoZero"/>
        <c:crossBetween val="between"/>
        <c:majorUnit val="0.2"/>
        <c:minorUnit val="0.05"/>
      </c:valAx>
    </c:plotArea>
    <c:legend>
      <c:legendPos val="r"/>
      <c:layout>
        <c:manualLayout>
          <c:xMode val="edge"/>
          <c:yMode val="edge"/>
          <c:x val="0.639635212710712"/>
          <c:y val="9.6748001556839727E-2"/>
          <c:w val="0.1503520148216767"/>
          <c:h val="0.11834159618936504"/>
        </c:manualLayout>
      </c:layout>
      <c:overlay val="0"/>
      <c:txPr>
        <a:bodyPr/>
        <a:lstStyle/>
        <a:p>
          <a:pPr>
            <a:defRPr sz="1200"/>
          </a:pPr>
          <a:endParaRPr lang="en-US"/>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83006535947711"/>
          <c:y val="3.9176954732510288E-2"/>
          <c:w val="0.82971454548573587"/>
          <c:h val="0.48739211302290958"/>
        </c:manualLayout>
      </c:layout>
      <c:barChart>
        <c:barDir val="col"/>
        <c:grouping val="clustered"/>
        <c:varyColors val="0"/>
        <c:ser>
          <c:idx val="0"/>
          <c:order val="0"/>
          <c:tx>
            <c:v>Best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graphs'!$D$3:$D$16</c:f>
              <c:numCache>
                <c:formatCode>0.000</c:formatCode>
                <c:ptCount val="14"/>
                <c:pt idx="0">
                  <c:v>6.9999999999999993E-2</c:v>
                </c:pt>
                <c:pt idx="1">
                  <c:v>9.0160000000000046E-2</c:v>
                </c:pt>
                <c:pt idx="2" formatCode="0.0000">
                  <c:v>1.438E-2</c:v>
                </c:pt>
                <c:pt idx="3" formatCode="General">
                  <c:v>1.77E-2</c:v>
                </c:pt>
                <c:pt idx="4" formatCode="General">
                  <c:v>9.1400000000000009E-2</c:v>
                </c:pt>
                <c:pt idx="5" formatCode="General">
                  <c:v>6.3600000000000004E-2</c:v>
                </c:pt>
                <c:pt idx="6">
                  <c:v>5.7966666666666708E-2</c:v>
                </c:pt>
                <c:pt idx="7">
                  <c:v>9.0586666666666732E-2</c:v>
                </c:pt>
                <c:pt idx="8">
                  <c:v>8.9246666666666738E-2</c:v>
                </c:pt>
                <c:pt idx="9">
                  <c:v>8.4626666666666794E-2</c:v>
                </c:pt>
                <c:pt idx="10">
                  <c:v>8.8833333333333389E-2</c:v>
                </c:pt>
                <c:pt idx="11">
                  <c:v>9.1933333333333367E-2</c:v>
                </c:pt>
                <c:pt idx="12">
                  <c:v>9.0286666666666668E-2</c:v>
                </c:pt>
                <c:pt idx="13">
                  <c:v>3.3593333333333329E-2</c:v>
                </c:pt>
              </c:numCache>
            </c:numRef>
          </c:val>
        </c:ser>
        <c:ser>
          <c:idx val="1"/>
          <c:order val="1"/>
          <c:tx>
            <c:v>Worst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graphs'!$H$3:$H$16</c:f>
              <c:numCache>
                <c:formatCode>0.000</c:formatCode>
                <c:ptCount val="14"/>
                <c:pt idx="0" formatCode="General">
                  <c:v>9.0600000000000028E-2</c:v>
                </c:pt>
                <c:pt idx="1">
                  <c:v>8.7906666666666716E-2</c:v>
                </c:pt>
                <c:pt idx="2" formatCode="General">
                  <c:v>8.9800000000000046E-2</c:v>
                </c:pt>
                <c:pt idx="3" formatCode="General">
                  <c:v>0.22600000000000003</c:v>
                </c:pt>
                <c:pt idx="4">
                  <c:v>8.9086666666666731E-2</c:v>
                </c:pt>
                <c:pt idx="5" formatCode="General">
                  <c:v>9.760000000000002E-2</c:v>
                </c:pt>
                <c:pt idx="6">
                  <c:v>6.8746666666666664E-2</c:v>
                </c:pt>
                <c:pt idx="7" formatCode="General">
                  <c:v>8.9800000000000046E-2</c:v>
                </c:pt>
                <c:pt idx="8">
                  <c:v>9.0353333333333327E-2</c:v>
                </c:pt>
                <c:pt idx="9" formatCode="General">
                  <c:v>8.9800000000000046E-2</c:v>
                </c:pt>
                <c:pt idx="10" formatCode="General">
                  <c:v>8.9800000000000046E-2</c:v>
                </c:pt>
                <c:pt idx="11">
                  <c:v>8.9800000000000046E-2</c:v>
                </c:pt>
                <c:pt idx="12">
                  <c:v>8.9800000000000046E-2</c:v>
                </c:pt>
                <c:pt idx="13">
                  <c:v>8.9800000000000046E-2</c:v>
                </c:pt>
              </c:numCache>
            </c:numRef>
          </c:val>
        </c:ser>
        <c:dLbls>
          <c:showLegendKey val="0"/>
          <c:showVal val="0"/>
          <c:showCatName val="0"/>
          <c:showSerName val="0"/>
          <c:showPercent val="0"/>
          <c:showBubbleSize val="0"/>
        </c:dLbls>
        <c:gapWidth val="150"/>
        <c:axId val="289692288"/>
        <c:axId val="289694080"/>
      </c:barChart>
      <c:catAx>
        <c:axId val="289692288"/>
        <c:scaling>
          <c:orientation val="minMax"/>
        </c:scaling>
        <c:delete val="0"/>
        <c:axPos val="b"/>
        <c:majorTickMark val="none"/>
        <c:min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289694080"/>
        <c:crosses val="autoZero"/>
        <c:auto val="1"/>
        <c:lblAlgn val="ctr"/>
        <c:lblOffset val="100"/>
        <c:noMultiLvlLbl val="0"/>
      </c:catAx>
      <c:valAx>
        <c:axId val="289694080"/>
        <c:scaling>
          <c:orientation val="minMax"/>
          <c:max val="0.2"/>
          <c:min val="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5250544662309382E-2"/>
              <c:y val="6.0861540455591265E-2"/>
            </c:manualLayout>
          </c:layout>
          <c:overlay val="0"/>
        </c:title>
        <c:numFmt formatCode="0.00" sourceLinked="0"/>
        <c:majorTickMark val="in"/>
        <c:minorTickMark val="in"/>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289692288"/>
        <c:crosses val="autoZero"/>
        <c:crossBetween val="between"/>
        <c:majorUnit val="0.05"/>
        <c:minorUnit val="1.0000000000000005E-2"/>
      </c:valAx>
    </c:plotArea>
    <c:legend>
      <c:legendPos val="r"/>
      <c:layout>
        <c:manualLayout>
          <c:xMode val="edge"/>
          <c:yMode val="edge"/>
          <c:x val="0.57916199200590113"/>
          <c:y val="6.5159003272739019E-2"/>
          <c:w val="0.1746506441596761"/>
          <c:h val="0.14210971776676071"/>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527156549520766"/>
          <c:y val="3.8793806030969845E-2"/>
          <c:w val="0.82500314457497925"/>
          <c:h val="0.49240539309114512"/>
        </c:manualLayout>
      </c:layout>
      <c:barChart>
        <c:barDir val="col"/>
        <c:grouping val="clustered"/>
        <c:varyColors val="0"/>
        <c:ser>
          <c:idx val="0"/>
          <c:order val="0"/>
          <c:tx>
            <c:v>Best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graphs'!$E$3:$E$16</c:f>
              <c:numCache>
                <c:formatCode>0</c:formatCode>
                <c:ptCount val="14"/>
                <c:pt idx="0">
                  <c:v>770.6</c:v>
                </c:pt>
                <c:pt idx="1">
                  <c:v>991.6</c:v>
                </c:pt>
                <c:pt idx="2">
                  <c:v>158.19999999999999</c:v>
                </c:pt>
                <c:pt idx="3">
                  <c:v>194</c:v>
                </c:pt>
                <c:pt idx="4">
                  <c:v>1005.4</c:v>
                </c:pt>
                <c:pt idx="5">
                  <c:v>698.4</c:v>
                </c:pt>
                <c:pt idx="6">
                  <c:v>637.6</c:v>
                </c:pt>
                <c:pt idx="7">
                  <c:v>996.4</c:v>
                </c:pt>
                <c:pt idx="8">
                  <c:v>981.6</c:v>
                </c:pt>
                <c:pt idx="9">
                  <c:v>930.8</c:v>
                </c:pt>
                <c:pt idx="10">
                  <c:v>977</c:v>
                </c:pt>
                <c:pt idx="11">
                  <c:v>1011.2</c:v>
                </c:pt>
                <c:pt idx="12">
                  <c:v>993</c:v>
                </c:pt>
                <c:pt idx="13">
                  <c:v>369.4</c:v>
                </c:pt>
              </c:numCache>
            </c:numRef>
          </c:val>
        </c:ser>
        <c:ser>
          <c:idx val="1"/>
          <c:order val="1"/>
          <c:tx>
            <c:v>Worst Case</c:v>
          </c:tx>
          <c:invertIfNegative val="0"/>
          <c:cat>
            <c:strRef>
              <c:f>'Brodifacoum graphs'!$A$3:$A$16</c:f>
              <c:strCache>
                <c:ptCount val="14"/>
                <c:pt idx="0">
                  <c:v>Application Date</c:v>
                </c:pt>
                <c:pt idx="1">
                  <c:v>Application Interval</c:v>
                </c:pt>
                <c:pt idx="2">
                  <c:v>Number of Applications</c:v>
                </c:pt>
                <c:pt idx="3">
                  <c:v>Hazing Effectiveness</c:v>
                </c:pt>
                <c:pt idx="4">
                  <c:v>Pellet Half-life</c:v>
                </c:pt>
                <c:pt idx="5">
                  <c:v>Time to Significant Rainfall Event</c:v>
                </c:pt>
                <c:pt idx="6">
                  <c:v>Time to Removal After Rainfall</c:v>
                </c:pt>
                <c:pt idx="7">
                  <c:v>Mean Concentration in Mice</c:v>
                </c:pt>
                <c:pt idx="8">
                  <c:v>Probability of Consuming Mice</c:v>
                </c:pt>
                <c:pt idx="9">
                  <c:v>Probability of Consuming Pellets</c:v>
                </c:pt>
                <c:pt idx="10">
                  <c:v>Temporal Correlation - Consuming Mice</c:v>
                </c:pt>
                <c:pt idx="11">
                  <c:v>Temporal Correlation - Consuming Pellets</c:v>
                </c:pt>
                <c:pt idx="12">
                  <c:v>Proportion Intoxicated Mice Below Ground</c:v>
                </c:pt>
                <c:pt idx="13">
                  <c:v>Gull LD50</c:v>
                </c:pt>
              </c:strCache>
            </c:strRef>
          </c:cat>
          <c:val>
            <c:numRef>
              <c:f>'Brodifacoum graphs'!$I$3:$I$16</c:f>
              <c:numCache>
                <c:formatCode>General</c:formatCode>
                <c:ptCount val="14"/>
                <c:pt idx="0" formatCode="0">
                  <c:v>997.2</c:v>
                </c:pt>
                <c:pt idx="1">
                  <c:v>966.8</c:v>
                </c:pt>
                <c:pt idx="2">
                  <c:v>987.8</c:v>
                </c:pt>
                <c:pt idx="3">
                  <c:v>2480</c:v>
                </c:pt>
                <c:pt idx="4">
                  <c:v>979.8</c:v>
                </c:pt>
                <c:pt idx="5">
                  <c:v>1072.8</c:v>
                </c:pt>
                <c:pt idx="6">
                  <c:v>756.2</c:v>
                </c:pt>
                <c:pt idx="7">
                  <c:v>987.8</c:v>
                </c:pt>
                <c:pt idx="8">
                  <c:v>993.8</c:v>
                </c:pt>
                <c:pt idx="9">
                  <c:v>987.8</c:v>
                </c:pt>
                <c:pt idx="10">
                  <c:v>987.8</c:v>
                </c:pt>
                <c:pt idx="11">
                  <c:v>987.8</c:v>
                </c:pt>
                <c:pt idx="12">
                  <c:v>987.8</c:v>
                </c:pt>
                <c:pt idx="13">
                  <c:v>987.8</c:v>
                </c:pt>
              </c:numCache>
            </c:numRef>
          </c:val>
        </c:ser>
        <c:dLbls>
          <c:showLegendKey val="0"/>
          <c:showVal val="0"/>
          <c:showCatName val="0"/>
          <c:showSerName val="0"/>
          <c:showPercent val="0"/>
          <c:showBubbleSize val="0"/>
        </c:dLbls>
        <c:gapWidth val="150"/>
        <c:axId val="291521664"/>
        <c:axId val="291523200"/>
      </c:barChart>
      <c:catAx>
        <c:axId val="291521664"/>
        <c:scaling>
          <c:orientation val="minMax"/>
        </c:scaling>
        <c:delete val="0"/>
        <c:axPos val="b"/>
        <c:majorTickMark val="none"/>
        <c:min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291523200"/>
        <c:crosses val="autoZero"/>
        <c:auto val="1"/>
        <c:lblAlgn val="ctr"/>
        <c:lblOffset val="100"/>
        <c:noMultiLvlLbl val="0"/>
      </c:catAx>
      <c:valAx>
        <c:axId val="291523200"/>
        <c:scaling>
          <c:orientation val="minMax"/>
          <c:max val="160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1.2779552715654953E-2"/>
              <c:y val="8.4948244550115737E-2"/>
            </c:manualLayout>
          </c:layout>
          <c:overlay val="0"/>
        </c:title>
        <c:numFmt formatCode="0"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291521664"/>
        <c:crosses val="autoZero"/>
        <c:crossBetween val="between"/>
        <c:majorUnit val="400"/>
        <c:minorUnit val="100"/>
      </c:valAx>
    </c:plotArea>
    <c:legend>
      <c:legendPos val="r"/>
      <c:layout>
        <c:manualLayout>
          <c:xMode val="edge"/>
          <c:yMode val="edge"/>
          <c:x val="0.58807828733868361"/>
          <c:y val="4.6591841056542724E-2"/>
          <c:w val="0.15242803116064194"/>
          <c:h val="0.1374599079760507"/>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277611688913187E-2"/>
          <c:y val="3.0164765525982257E-2"/>
          <c:w val="0.87169382570494192"/>
          <c:h val="0.53422412502619687"/>
        </c:manualLayout>
      </c:layout>
      <c:barChart>
        <c:barDir val="col"/>
        <c:grouping val="clustered"/>
        <c:varyColors val="0"/>
        <c:ser>
          <c:idx val="0"/>
          <c:order val="0"/>
          <c:tx>
            <c:v>Best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graphs'!$C$3:$C$17</c:f>
              <c:numCache>
                <c:formatCode>0.00</c:formatCode>
                <c:ptCount val="15"/>
                <c:pt idx="0" formatCode="0.0">
                  <c:v>5.5353183444237724</c:v>
                </c:pt>
                <c:pt idx="1">
                  <c:v>9.68</c:v>
                </c:pt>
                <c:pt idx="2" formatCode="0.0">
                  <c:v>9.3470575065336625</c:v>
                </c:pt>
                <c:pt idx="3" formatCode="0.000">
                  <c:v>6.8906541808401611E-2</c:v>
                </c:pt>
                <c:pt idx="4">
                  <c:v>1.8408159046390848</c:v>
                </c:pt>
                <c:pt idx="5" formatCode="0.0">
                  <c:v>11.429046703438621</c:v>
                </c:pt>
                <c:pt idx="6" formatCode="0.0">
                  <c:v>3.3726262503689597</c:v>
                </c:pt>
                <c:pt idx="7" formatCode="0.0">
                  <c:v>9.2378267965821674</c:v>
                </c:pt>
                <c:pt idx="8" formatCode="0.0">
                  <c:v>9.6944920313618397</c:v>
                </c:pt>
                <c:pt idx="9" formatCode="0.0">
                  <c:v>9.7694324000695048</c:v>
                </c:pt>
                <c:pt idx="10" formatCode="0.0">
                  <c:v>8.6746123735955489</c:v>
                </c:pt>
                <c:pt idx="11" formatCode="0.0">
                  <c:v>9.68</c:v>
                </c:pt>
                <c:pt idx="12" formatCode="0.0">
                  <c:v>8.9130663673884847</c:v>
                </c:pt>
                <c:pt idx="13" formatCode="0.0">
                  <c:v>9.6997736146426785</c:v>
                </c:pt>
                <c:pt idx="14" formatCode="0.0">
                  <c:v>9.7156984155799488</c:v>
                </c:pt>
              </c:numCache>
            </c:numRef>
          </c:val>
        </c:ser>
        <c:ser>
          <c:idx val="1"/>
          <c:order val="1"/>
          <c:tx>
            <c:v>Worst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graphs'!$G$3:$G$17</c:f>
              <c:numCache>
                <c:formatCode>0.0</c:formatCode>
                <c:ptCount val="15"/>
                <c:pt idx="0">
                  <c:v>9.6870085817612654</c:v>
                </c:pt>
                <c:pt idx="1">
                  <c:v>22.7</c:v>
                </c:pt>
                <c:pt idx="2">
                  <c:v>12.293880533082127</c:v>
                </c:pt>
                <c:pt idx="3">
                  <c:v>9.68</c:v>
                </c:pt>
                <c:pt idx="4">
                  <c:v>24.188791258030989</c:v>
                </c:pt>
                <c:pt idx="5">
                  <c:v>9.6819108355009327</c:v>
                </c:pt>
                <c:pt idx="6">
                  <c:v>12.860328973512171</c:v>
                </c:pt>
                <c:pt idx="7">
                  <c:v>9.931840205711401</c:v>
                </c:pt>
                <c:pt idx="8">
                  <c:v>9.68</c:v>
                </c:pt>
                <c:pt idx="9">
                  <c:v>9.6895470029054778</c:v>
                </c:pt>
                <c:pt idx="10">
                  <c:v>9.68</c:v>
                </c:pt>
                <c:pt idx="11">
                  <c:v>9.6240416712617769</c:v>
                </c:pt>
                <c:pt idx="12">
                  <c:v>9.68</c:v>
                </c:pt>
                <c:pt idx="13">
                  <c:v>9.68</c:v>
                </c:pt>
                <c:pt idx="14">
                  <c:v>9.68</c:v>
                </c:pt>
              </c:numCache>
            </c:numRef>
          </c:val>
        </c:ser>
        <c:dLbls>
          <c:showLegendKey val="0"/>
          <c:showVal val="0"/>
          <c:showCatName val="0"/>
          <c:showSerName val="0"/>
          <c:showPercent val="0"/>
          <c:showBubbleSize val="0"/>
        </c:dLbls>
        <c:gapWidth val="150"/>
        <c:axId val="291544448"/>
        <c:axId val="291562624"/>
      </c:barChart>
      <c:catAx>
        <c:axId val="291544448"/>
        <c:scaling>
          <c:orientation val="minMax"/>
        </c:scaling>
        <c:delete val="0"/>
        <c:axPos val="b"/>
        <c:majorTickMark val="none"/>
        <c:minorTickMark val="none"/>
        <c:tickLblPos val="nextTo"/>
        <c:spPr>
          <a:ln w="19050">
            <a:solidFill>
              <a:sysClr val="windowText" lastClr="000000"/>
            </a:solidFill>
          </a:ln>
        </c:spPr>
        <c:txPr>
          <a:bodyPr/>
          <a:lstStyle/>
          <a:p>
            <a:pPr>
              <a:defRPr sz="1000"/>
            </a:pPr>
            <a:endParaRPr lang="en-US"/>
          </a:p>
        </c:txPr>
        <c:crossAx val="291562624"/>
        <c:crosses val="autoZero"/>
        <c:auto val="1"/>
        <c:lblAlgn val="ctr"/>
        <c:lblOffset val="100"/>
        <c:noMultiLvlLbl val="0"/>
      </c:catAx>
      <c:valAx>
        <c:axId val="291562624"/>
        <c:scaling>
          <c:orientation val="minMax"/>
          <c:max val="25"/>
        </c:scaling>
        <c:delete val="0"/>
        <c:axPos val="l"/>
        <c:title>
          <c:tx>
            <c:rich>
              <a:bodyPr rot="-5400000" vert="horz"/>
              <a:lstStyle/>
              <a:p>
                <a:pPr>
                  <a:defRPr sz="1200"/>
                </a:pPr>
                <a:r>
                  <a:rPr lang="en-US" sz="1200"/>
                  <a:t>Ingested Dose (mg ai/kg bw)</a:t>
                </a:r>
              </a:p>
            </c:rich>
          </c:tx>
          <c:layout>
            <c:manualLayout>
              <c:xMode val="edge"/>
              <c:yMode val="edge"/>
              <c:x val="2.148193014334747E-3"/>
              <c:y val="7.9973353740618494E-2"/>
            </c:manualLayout>
          </c:layout>
          <c:overlay val="0"/>
        </c:title>
        <c:numFmt formatCode="0" sourceLinked="0"/>
        <c:majorTickMark val="in"/>
        <c:minorTickMark val="in"/>
        <c:tickLblPos val="nextTo"/>
        <c:spPr>
          <a:ln w="19050">
            <a:solidFill>
              <a:sysClr val="windowText" lastClr="000000"/>
            </a:solidFill>
          </a:ln>
        </c:spPr>
        <c:txPr>
          <a:bodyPr/>
          <a:lstStyle/>
          <a:p>
            <a:pPr>
              <a:defRPr sz="1200"/>
            </a:pPr>
            <a:endParaRPr lang="en-US"/>
          </a:p>
        </c:txPr>
        <c:crossAx val="291544448"/>
        <c:crosses val="autoZero"/>
        <c:crossBetween val="between"/>
        <c:majorUnit val="5"/>
        <c:minorUnit val="1"/>
      </c:valAx>
    </c:plotArea>
    <c:legend>
      <c:legendPos val="r"/>
      <c:layout>
        <c:manualLayout>
          <c:xMode val="edge"/>
          <c:yMode val="edge"/>
          <c:x val="0.6378755299818295"/>
          <c:y val="9.6748001556839727E-2"/>
          <c:w val="0.15211168315499038"/>
          <c:h val="0.12200944144277051"/>
        </c:manualLayout>
      </c:layout>
      <c:overlay val="0"/>
      <c:txPr>
        <a:bodyPr/>
        <a:lstStyle/>
        <a:p>
          <a:pPr>
            <a:defRPr sz="1200"/>
          </a:pPr>
          <a:endParaRPr lang="en-US"/>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16084263976807"/>
          <c:y val="3.6551505135932083E-2"/>
          <c:w val="0.84790781054329134"/>
          <c:h val="0.48582171672985397"/>
        </c:manualLayout>
      </c:layout>
      <c:barChart>
        <c:barDir val="col"/>
        <c:grouping val="clustered"/>
        <c:varyColors val="0"/>
        <c:ser>
          <c:idx val="0"/>
          <c:order val="0"/>
          <c:tx>
            <c:v>Best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graphs'!$D$3:$D$17</c:f>
              <c:numCache>
                <c:formatCode>0.00</c:formatCode>
                <c:ptCount val="15"/>
                <c:pt idx="0" formatCode="0.000">
                  <c:v>2.6693333333333354E-2</c:v>
                </c:pt>
                <c:pt idx="1">
                  <c:v>4.900000000000003E-2</c:v>
                </c:pt>
                <c:pt idx="2" formatCode="0.000">
                  <c:v>4.6339999999999999E-2</c:v>
                </c:pt>
                <c:pt idx="3" formatCode="General">
                  <c:v>0</c:v>
                </c:pt>
                <c:pt idx="4" formatCode="0.00000">
                  <c:v>9.2666666666666765E-3</c:v>
                </c:pt>
                <c:pt idx="5" formatCode="General">
                  <c:v>6.0400000000000023E-2</c:v>
                </c:pt>
                <c:pt idx="6" formatCode="0.0000">
                  <c:v>9.9466666666666766E-3</c:v>
                </c:pt>
                <c:pt idx="7" formatCode="0.000">
                  <c:v>4.6346666666666682E-2</c:v>
                </c:pt>
                <c:pt idx="8" formatCode="0.000">
                  <c:v>4.8746666666666674E-2</c:v>
                </c:pt>
                <c:pt idx="9" formatCode="0.000">
                  <c:v>4.9259999999999998E-2</c:v>
                </c:pt>
                <c:pt idx="10" formatCode="0.000">
                  <c:v>4.2713333333333395E-2</c:v>
                </c:pt>
                <c:pt idx="11" formatCode="General">
                  <c:v>4.900000000000003E-2</c:v>
                </c:pt>
                <c:pt idx="12" formatCode="0.000">
                  <c:v>4.0106666666666693E-2</c:v>
                </c:pt>
                <c:pt idx="13" formatCode="0.000">
                  <c:v>4.8980000000000003E-2</c:v>
                </c:pt>
                <c:pt idx="14" formatCode="General">
                  <c:v>0</c:v>
                </c:pt>
              </c:numCache>
            </c:numRef>
          </c:val>
        </c:ser>
        <c:ser>
          <c:idx val="1"/>
          <c:order val="1"/>
          <c:tx>
            <c:v>Worst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graphs'!$H$3:$H$17</c:f>
              <c:numCache>
                <c:formatCode>0.000</c:formatCode>
                <c:ptCount val="15"/>
                <c:pt idx="0">
                  <c:v>4.7773333333333383E-2</c:v>
                </c:pt>
                <c:pt idx="1">
                  <c:v>8.7600000000000025E-2</c:v>
                </c:pt>
                <c:pt idx="2">
                  <c:v>6.6053333333333367E-2</c:v>
                </c:pt>
                <c:pt idx="3" formatCode="General">
                  <c:v>4.900000000000003E-2</c:v>
                </c:pt>
                <c:pt idx="4">
                  <c:v>0.1215666666666667</c:v>
                </c:pt>
                <c:pt idx="5">
                  <c:v>4.8713333333333393E-2</c:v>
                </c:pt>
                <c:pt idx="6">
                  <c:v>7.0606666666666693E-2</c:v>
                </c:pt>
                <c:pt idx="7">
                  <c:v>4.9946666666666695E-2</c:v>
                </c:pt>
                <c:pt idx="8" formatCode="General">
                  <c:v>4.900000000000003E-2</c:v>
                </c:pt>
                <c:pt idx="9">
                  <c:v>4.88066666666667E-2</c:v>
                </c:pt>
                <c:pt idx="10" formatCode="General">
                  <c:v>4.900000000000003E-2</c:v>
                </c:pt>
                <c:pt idx="11">
                  <c:v>4.8039999999999999E-2</c:v>
                </c:pt>
                <c:pt idx="12" formatCode="General">
                  <c:v>4.900000000000003E-2</c:v>
                </c:pt>
                <c:pt idx="13" formatCode="General">
                  <c:v>4.900000000000003E-2</c:v>
                </c:pt>
                <c:pt idx="14" formatCode="General">
                  <c:v>4.900000000000003E-2</c:v>
                </c:pt>
              </c:numCache>
            </c:numRef>
          </c:val>
        </c:ser>
        <c:dLbls>
          <c:showLegendKey val="0"/>
          <c:showVal val="0"/>
          <c:showCatName val="0"/>
          <c:showSerName val="0"/>
          <c:showPercent val="0"/>
          <c:showBubbleSize val="0"/>
        </c:dLbls>
        <c:gapWidth val="150"/>
        <c:axId val="291747712"/>
        <c:axId val="291749248"/>
      </c:barChart>
      <c:catAx>
        <c:axId val="291747712"/>
        <c:scaling>
          <c:orientation val="minMax"/>
        </c:scaling>
        <c:delete val="0"/>
        <c:axPos val="b"/>
        <c:majorTickMark val="none"/>
        <c:minorTickMark val="none"/>
        <c:tickLblPos val="nextTo"/>
        <c:spPr>
          <a:ln w="19050">
            <a:solidFill>
              <a:schemeClr val="tx1"/>
            </a:solidFill>
          </a:ln>
        </c:spPr>
        <c:txPr>
          <a:bodyPr/>
          <a:lstStyle/>
          <a:p>
            <a:pPr>
              <a:defRPr sz="1000">
                <a:latin typeface="Times New Roman" pitchFamily="18" charset="0"/>
                <a:cs typeface="Times New Roman" pitchFamily="18" charset="0"/>
              </a:defRPr>
            </a:pPr>
            <a:endParaRPr lang="en-US"/>
          </a:p>
        </c:txPr>
        <c:crossAx val="291749248"/>
        <c:crosses val="autoZero"/>
        <c:auto val="1"/>
        <c:lblAlgn val="ctr"/>
        <c:lblOffset val="100"/>
        <c:noMultiLvlLbl val="0"/>
      </c:catAx>
      <c:valAx>
        <c:axId val="291749248"/>
        <c:scaling>
          <c:orientation val="minMax"/>
          <c:max val="0.2"/>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overlay val="0"/>
        </c:title>
        <c:numFmt formatCode="0.00" sourceLinked="0"/>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291747712"/>
        <c:crosses val="autoZero"/>
        <c:crossBetween val="between"/>
        <c:majorUnit val="0.05"/>
        <c:minorUnit val="1.0000000000000005E-2"/>
      </c:valAx>
    </c:plotArea>
    <c:legend>
      <c:legendPos val="r"/>
      <c:layout>
        <c:manualLayout>
          <c:xMode val="edge"/>
          <c:yMode val="edge"/>
          <c:x val="0.59223388743073757"/>
          <c:y val="6.5159003272739019E-2"/>
          <c:w val="0.16157874873483938"/>
          <c:h val="0.14540189883671964"/>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xVal>
            <c:numRef>
              <c:f>'Model Stability Runs'!$C$4:$C$73</c:f>
              <c:numCache>
                <c:formatCode>#,##0</c:formatCode>
                <c:ptCount val="70"/>
                <c:pt idx="0">
                  <c:v>100</c:v>
                </c:pt>
                <c:pt idx="1">
                  <c:v>100</c:v>
                </c:pt>
                <c:pt idx="2">
                  <c:v>100</c:v>
                </c:pt>
                <c:pt idx="3">
                  <c:v>100</c:v>
                </c:pt>
                <c:pt idx="4">
                  <c:v>100</c:v>
                </c:pt>
                <c:pt idx="5">
                  <c:v>100</c:v>
                </c:pt>
                <c:pt idx="6">
                  <c:v>100</c:v>
                </c:pt>
                <c:pt idx="7">
                  <c:v>100</c:v>
                </c:pt>
                <c:pt idx="8">
                  <c:v>100</c:v>
                </c:pt>
                <c:pt idx="9">
                  <c:v>100</c:v>
                </c:pt>
                <c:pt idx="10">
                  <c:v>300</c:v>
                </c:pt>
                <c:pt idx="11">
                  <c:v>300</c:v>
                </c:pt>
                <c:pt idx="12">
                  <c:v>300</c:v>
                </c:pt>
                <c:pt idx="13">
                  <c:v>300</c:v>
                </c:pt>
                <c:pt idx="14">
                  <c:v>300</c:v>
                </c:pt>
                <c:pt idx="15">
                  <c:v>300</c:v>
                </c:pt>
                <c:pt idx="16">
                  <c:v>300</c:v>
                </c:pt>
                <c:pt idx="17">
                  <c:v>300</c:v>
                </c:pt>
                <c:pt idx="18">
                  <c:v>300</c:v>
                </c:pt>
                <c:pt idx="19">
                  <c:v>300</c:v>
                </c:pt>
                <c:pt idx="20">
                  <c:v>1000</c:v>
                </c:pt>
                <c:pt idx="21">
                  <c:v>1000</c:v>
                </c:pt>
                <c:pt idx="22">
                  <c:v>1000</c:v>
                </c:pt>
                <c:pt idx="23">
                  <c:v>1000</c:v>
                </c:pt>
                <c:pt idx="24">
                  <c:v>1000</c:v>
                </c:pt>
                <c:pt idx="25">
                  <c:v>1000</c:v>
                </c:pt>
                <c:pt idx="26">
                  <c:v>1000</c:v>
                </c:pt>
                <c:pt idx="27">
                  <c:v>1000</c:v>
                </c:pt>
                <c:pt idx="28">
                  <c:v>1000</c:v>
                </c:pt>
                <c:pt idx="29">
                  <c:v>1000</c:v>
                </c:pt>
                <c:pt idx="30">
                  <c:v>3000</c:v>
                </c:pt>
                <c:pt idx="31">
                  <c:v>3000</c:v>
                </c:pt>
                <c:pt idx="32">
                  <c:v>3000</c:v>
                </c:pt>
                <c:pt idx="33">
                  <c:v>3000</c:v>
                </c:pt>
                <c:pt idx="34">
                  <c:v>3000</c:v>
                </c:pt>
                <c:pt idx="35">
                  <c:v>3000</c:v>
                </c:pt>
                <c:pt idx="36">
                  <c:v>3000</c:v>
                </c:pt>
                <c:pt idx="37">
                  <c:v>3000</c:v>
                </c:pt>
                <c:pt idx="38">
                  <c:v>3000</c:v>
                </c:pt>
                <c:pt idx="39">
                  <c:v>3000</c:v>
                </c:pt>
                <c:pt idx="40">
                  <c:v>10000</c:v>
                </c:pt>
                <c:pt idx="41">
                  <c:v>10000</c:v>
                </c:pt>
                <c:pt idx="42">
                  <c:v>10000</c:v>
                </c:pt>
                <c:pt idx="43">
                  <c:v>10000</c:v>
                </c:pt>
                <c:pt idx="44">
                  <c:v>10000</c:v>
                </c:pt>
                <c:pt idx="45">
                  <c:v>10000</c:v>
                </c:pt>
                <c:pt idx="46">
                  <c:v>10000</c:v>
                </c:pt>
                <c:pt idx="47">
                  <c:v>10000</c:v>
                </c:pt>
                <c:pt idx="48">
                  <c:v>10000</c:v>
                </c:pt>
                <c:pt idx="49">
                  <c:v>10000</c:v>
                </c:pt>
                <c:pt idx="50">
                  <c:v>30000</c:v>
                </c:pt>
                <c:pt idx="51">
                  <c:v>30000</c:v>
                </c:pt>
                <c:pt idx="52">
                  <c:v>30000</c:v>
                </c:pt>
                <c:pt idx="53">
                  <c:v>30000</c:v>
                </c:pt>
                <c:pt idx="54">
                  <c:v>30000</c:v>
                </c:pt>
                <c:pt idx="55">
                  <c:v>30000</c:v>
                </c:pt>
                <c:pt idx="56">
                  <c:v>30000</c:v>
                </c:pt>
                <c:pt idx="57">
                  <c:v>30000</c:v>
                </c:pt>
                <c:pt idx="58">
                  <c:v>30000</c:v>
                </c:pt>
                <c:pt idx="59">
                  <c:v>30000</c:v>
                </c:pt>
                <c:pt idx="60">
                  <c:v>100000</c:v>
                </c:pt>
                <c:pt idx="61">
                  <c:v>100000</c:v>
                </c:pt>
                <c:pt idx="62">
                  <c:v>100000</c:v>
                </c:pt>
                <c:pt idx="63">
                  <c:v>100000</c:v>
                </c:pt>
                <c:pt idx="64">
                  <c:v>100000</c:v>
                </c:pt>
                <c:pt idx="65">
                  <c:v>100000</c:v>
                </c:pt>
                <c:pt idx="66">
                  <c:v>100000</c:v>
                </c:pt>
                <c:pt idx="67">
                  <c:v>100000</c:v>
                </c:pt>
                <c:pt idx="68">
                  <c:v>100000</c:v>
                </c:pt>
                <c:pt idx="69">
                  <c:v>100000</c:v>
                </c:pt>
              </c:numCache>
            </c:numRef>
          </c:xVal>
          <c:yVal>
            <c:numRef>
              <c:f>'Model Stability Runs'!$E$4:$E$73</c:f>
              <c:numCache>
                <c:formatCode>0.0000</c:formatCode>
                <c:ptCount val="70"/>
                <c:pt idx="0">
                  <c:v>8.4000006720000048E-2</c:v>
                </c:pt>
                <c:pt idx="1">
                  <c:v>8.6000006880000007E-2</c:v>
                </c:pt>
                <c:pt idx="2">
                  <c:v>9.4000007520000026E-2</c:v>
                </c:pt>
                <c:pt idx="3" formatCode="0.000">
                  <c:v>0.10600000848000009</c:v>
                </c:pt>
                <c:pt idx="4">
                  <c:v>8.2000006560000005E-2</c:v>
                </c:pt>
                <c:pt idx="5">
                  <c:v>8.6000006880000007E-2</c:v>
                </c:pt>
                <c:pt idx="6">
                  <c:v>7.8000006240000003E-2</c:v>
                </c:pt>
                <c:pt idx="7">
                  <c:v>7.8000006240000003E-2</c:v>
                </c:pt>
                <c:pt idx="8">
                  <c:v>9.8000007840000028E-2</c:v>
                </c:pt>
                <c:pt idx="9">
                  <c:v>8.4000006720000048E-2</c:v>
                </c:pt>
                <c:pt idx="10" formatCode="0.000">
                  <c:v>0.10800000864000002</c:v>
                </c:pt>
                <c:pt idx="11">
                  <c:v>9.0000007200000023E-2</c:v>
                </c:pt>
                <c:pt idx="12">
                  <c:v>9.0666673920000135E-2</c:v>
                </c:pt>
                <c:pt idx="13">
                  <c:v>8.4000006720000048E-2</c:v>
                </c:pt>
                <c:pt idx="14">
                  <c:v>9.8000007840000028E-2</c:v>
                </c:pt>
                <c:pt idx="15">
                  <c:v>9.2666674080000025E-2</c:v>
                </c:pt>
                <c:pt idx="16">
                  <c:v>9.6666674400000027E-2</c:v>
                </c:pt>
                <c:pt idx="17">
                  <c:v>9.8666674560000153E-2</c:v>
                </c:pt>
                <c:pt idx="18">
                  <c:v>8.6000006880000007E-2</c:v>
                </c:pt>
                <c:pt idx="19">
                  <c:v>8.2666673280000047E-2</c:v>
                </c:pt>
                <c:pt idx="20">
                  <c:v>9.0200007215999994E-2</c:v>
                </c:pt>
                <c:pt idx="21">
                  <c:v>9.1800007344000026E-2</c:v>
                </c:pt>
                <c:pt idx="22">
                  <c:v>8.9600007168000151E-2</c:v>
                </c:pt>
                <c:pt idx="23">
                  <c:v>9.0600007248000006E-2</c:v>
                </c:pt>
                <c:pt idx="24">
                  <c:v>9.6000007680000027E-2</c:v>
                </c:pt>
                <c:pt idx="25">
                  <c:v>8.6400006912000005E-2</c:v>
                </c:pt>
                <c:pt idx="26">
                  <c:v>9.0600007248000006E-2</c:v>
                </c:pt>
                <c:pt idx="27">
                  <c:v>9.1800007344000026E-2</c:v>
                </c:pt>
                <c:pt idx="28">
                  <c:v>9.8800007904000064E-2</c:v>
                </c:pt>
                <c:pt idx="29">
                  <c:v>8.7600007007999997E-2</c:v>
                </c:pt>
                <c:pt idx="30">
                  <c:v>9.1000007280000017E-2</c:v>
                </c:pt>
                <c:pt idx="31">
                  <c:v>8.826667372800015E-2</c:v>
                </c:pt>
                <c:pt idx="32">
                  <c:v>8.6266673568000066E-2</c:v>
                </c:pt>
                <c:pt idx="33">
                  <c:v>9.0266673888000026E-2</c:v>
                </c:pt>
                <c:pt idx="34">
                  <c:v>9.1266673968000006E-2</c:v>
                </c:pt>
                <c:pt idx="35">
                  <c:v>8.893334044800015E-2</c:v>
                </c:pt>
                <c:pt idx="36">
                  <c:v>9.1133340624000025E-2</c:v>
                </c:pt>
                <c:pt idx="37">
                  <c:v>8.6200006896000006E-2</c:v>
                </c:pt>
                <c:pt idx="38">
                  <c:v>9.0866673936000092E-2</c:v>
                </c:pt>
                <c:pt idx="39">
                  <c:v>8.9666673840000113E-2</c:v>
                </c:pt>
                <c:pt idx="40">
                  <c:v>8.9560007164800157E-2</c:v>
                </c:pt>
                <c:pt idx="41">
                  <c:v>9.0600007248000006E-2</c:v>
                </c:pt>
                <c:pt idx="42">
                  <c:v>8.9000007120000085E-2</c:v>
                </c:pt>
                <c:pt idx="43">
                  <c:v>8.9820007185600154E-2</c:v>
                </c:pt>
                <c:pt idx="44">
                  <c:v>8.8600007088000088E-2</c:v>
                </c:pt>
                <c:pt idx="45">
                  <c:v>8.9080007126400004E-2</c:v>
                </c:pt>
                <c:pt idx="46">
                  <c:v>9.1120007289600027E-2</c:v>
                </c:pt>
                <c:pt idx="47">
                  <c:v>8.9480007158400016E-2</c:v>
                </c:pt>
                <c:pt idx="48">
                  <c:v>9.1680007334400002E-2</c:v>
                </c:pt>
                <c:pt idx="49">
                  <c:v>9.0060007204800008E-2</c:v>
                </c:pt>
                <c:pt idx="50">
                  <c:v>9.0360007228800013E-2</c:v>
                </c:pt>
                <c:pt idx="51">
                  <c:v>9.0473340571200045E-2</c:v>
                </c:pt>
                <c:pt idx="52">
                  <c:v>8.9366673816000025E-2</c:v>
                </c:pt>
                <c:pt idx="53">
                  <c:v>8.9940007195200067E-2</c:v>
                </c:pt>
                <c:pt idx="54">
                  <c:v>9.1006673947200065E-2</c:v>
                </c:pt>
                <c:pt idx="55">
                  <c:v>9.0226673884800046E-2</c:v>
                </c:pt>
                <c:pt idx="56">
                  <c:v>8.9240007139200023E-2</c:v>
                </c:pt>
                <c:pt idx="57">
                  <c:v>9.0306673891200007E-2</c:v>
                </c:pt>
                <c:pt idx="58">
                  <c:v>9.0666673920000135E-2</c:v>
                </c:pt>
                <c:pt idx="59">
                  <c:v>9.0206673883200028E-2</c:v>
                </c:pt>
                <c:pt idx="60">
                  <c:v>8.9600007168000151E-2</c:v>
                </c:pt>
                <c:pt idx="61">
                  <c:v>9.0102007208160015E-2</c:v>
                </c:pt>
                <c:pt idx="62">
                  <c:v>9.0210007216800017E-2</c:v>
                </c:pt>
                <c:pt idx="63">
                  <c:v>8.9382007150559994E-2</c:v>
                </c:pt>
                <c:pt idx="64">
                  <c:v>9.0044007203520002E-2</c:v>
                </c:pt>
                <c:pt idx="65">
                  <c:v>8.9662007172960106E-2</c:v>
                </c:pt>
                <c:pt idx="66">
                  <c:v>8.9830007186400107E-2</c:v>
                </c:pt>
                <c:pt idx="67">
                  <c:v>8.960600716848019E-2</c:v>
                </c:pt>
                <c:pt idx="68">
                  <c:v>8.9724007177920159E-2</c:v>
                </c:pt>
                <c:pt idx="69">
                  <c:v>8.9756007180480227E-2</c:v>
                </c:pt>
              </c:numCache>
            </c:numRef>
          </c:yVal>
          <c:smooth val="0"/>
        </c:ser>
        <c:dLbls>
          <c:showLegendKey val="0"/>
          <c:showVal val="0"/>
          <c:showCatName val="0"/>
          <c:showSerName val="0"/>
          <c:showPercent val="0"/>
          <c:showBubbleSize val="0"/>
        </c:dLbls>
        <c:axId val="261443968"/>
        <c:axId val="261445888"/>
      </c:scatterChart>
      <c:valAx>
        <c:axId val="261443968"/>
        <c:scaling>
          <c:logBase val="10"/>
          <c:orientation val="minMax"/>
          <c:min val="100"/>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40130675526024473"/>
              <c:y val="0.92154839772437269"/>
            </c:manualLayout>
          </c:layout>
          <c:overlay val="0"/>
        </c:title>
        <c:numFmt formatCode="#,##0"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261445888"/>
        <c:crosses val="autoZero"/>
        <c:crossBetween val="midCat"/>
      </c:valAx>
      <c:valAx>
        <c:axId val="261445888"/>
        <c:scaling>
          <c:orientation val="minMax"/>
          <c:max val="0.11"/>
          <c:min val="7.0000000000000021E-2"/>
        </c:scaling>
        <c:delete val="0"/>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1074197120708748E-2"/>
              <c:y val="0.20647894925355018"/>
            </c:manualLayout>
          </c:layout>
          <c:overlay val="0"/>
        </c:title>
        <c:numFmt formatCode="0.00" sourceLinked="0"/>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261443968"/>
        <c:crosses val="autoZero"/>
        <c:crossBetween val="midCat"/>
        <c:majorUnit val="1.0000000000000005E-2"/>
        <c:minorUnit val="2.0000000000000039E-3"/>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010731253530005"/>
          <c:y val="3.6194033203062331E-2"/>
          <c:w val="0.84946127778331504"/>
          <c:h val="0.49085035519704362"/>
        </c:manualLayout>
      </c:layout>
      <c:barChart>
        <c:barDir val="col"/>
        <c:grouping val="clustered"/>
        <c:varyColors val="0"/>
        <c:ser>
          <c:idx val="0"/>
          <c:order val="0"/>
          <c:tx>
            <c:v>Best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graphs'!$E$3:$E$17</c:f>
              <c:numCache>
                <c:formatCode>0</c:formatCode>
                <c:ptCount val="15"/>
                <c:pt idx="0">
                  <c:v>293.60000000000002</c:v>
                </c:pt>
                <c:pt idx="1">
                  <c:v>538.20000000000005</c:v>
                </c:pt>
                <c:pt idx="2">
                  <c:v>509.6</c:v>
                </c:pt>
                <c:pt idx="3">
                  <c:v>0</c:v>
                </c:pt>
                <c:pt idx="4">
                  <c:v>101</c:v>
                </c:pt>
                <c:pt idx="5">
                  <c:v>664.4</c:v>
                </c:pt>
                <c:pt idx="6">
                  <c:v>109.4</c:v>
                </c:pt>
                <c:pt idx="7">
                  <c:v>509.8</c:v>
                </c:pt>
                <c:pt idx="8">
                  <c:v>536.20000000000005</c:v>
                </c:pt>
                <c:pt idx="9">
                  <c:v>541.79999999999995</c:v>
                </c:pt>
                <c:pt idx="10">
                  <c:v>469.8</c:v>
                </c:pt>
                <c:pt idx="11">
                  <c:v>538.20000000000005</c:v>
                </c:pt>
                <c:pt idx="12">
                  <c:v>441</c:v>
                </c:pt>
                <c:pt idx="13">
                  <c:v>538.6</c:v>
                </c:pt>
                <c:pt idx="14">
                  <c:v>0</c:v>
                </c:pt>
              </c:numCache>
            </c:numRef>
          </c:val>
        </c:ser>
        <c:ser>
          <c:idx val="1"/>
          <c:order val="1"/>
          <c:tx>
            <c:v>Worst Case</c:v>
          </c:tx>
          <c:invertIfNegative val="0"/>
          <c:cat>
            <c:strRef>
              <c:f>'Diphacinone graphs'!$A$3:$A$17</c:f>
              <c:strCache>
                <c:ptCount val="15"/>
                <c:pt idx="0">
                  <c:v>Application Date</c:v>
                </c:pt>
                <c:pt idx="1">
                  <c:v>Application Rate</c:v>
                </c:pt>
                <c:pt idx="2">
                  <c:v>Application Interval</c:v>
                </c:pt>
                <c:pt idx="3">
                  <c:v>Number of Applications</c:v>
                </c:pt>
                <c:pt idx="4">
                  <c:v>Hazing Effectiveness</c:v>
                </c:pt>
                <c:pt idx="5">
                  <c:v>Pellet Half-life</c:v>
                </c:pt>
                <c:pt idx="6">
                  <c:v>Time to Significant Rainfall Event</c:v>
                </c:pt>
                <c:pt idx="7">
                  <c:v>Time to Removal After Rainfall</c:v>
                </c:pt>
                <c:pt idx="8">
                  <c:v>Mean Concentration in Mice</c:v>
                </c:pt>
                <c:pt idx="9">
                  <c:v>Probability of Consuming Mice</c:v>
                </c:pt>
                <c:pt idx="10">
                  <c:v>Probability of Consuming Pellets</c:v>
                </c:pt>
                <c:pt idx="11">
                  <c:v>Temporal Correlation - Consuming Mice</c:v>
                </c:pt>
                <c:pt idx="12">
                  <c:v>Temporal Correlation - Consuming Pellets</c:v>
                </c:pt>
                <c:pt idx="13">
                  <c:v>Proportion Intoxicated Mice Below Ground</c:v>
                </c:pt>
                <c:pt idx="14">
                  <c:v>Gull LD50</c:v>
                </c:pt>
              </c:strCache>
            </c:strRef>
          </c:cat>
          <c:val>
            <c:numRef>
              <c:f>'Diphacinone graphs'!$I$3:$I$17</c:f>
              <c:numCache>
                <c:formatCode>0</c:formatCode>
                <c:ptCount val="15"/>
                <c:pt idx="0">
                  <c:v>525.4</c:v>
                </c:pt>
                <c:pt idx="1">
                  <c:v>963</c:v>
                </c:pt>
                <c:pt idx="2">
                  <c:v>726.4</c:v>
                </c:pt>
                <c:pt idx="3">
                  <c:v>538.20000000000005</c:v>
                </c:pt>
                <c:pt idx="4">
                  <c:v>1337</c:v>
                </c:pt>
                <c:pt idx="5">
                  <c:v>535.79999999999995</c:v>
                </c:pt>
                <c:pt idx="6">
                  <c:v>776.6</c:v>
                </c:pt>
                <c:pt idx="7">
                  <c:v>549.4</c:v>
                </c:pt>
                <c:pt idx="8">
                  <c:v>538.20000000000005</c:v>
                </c:pt>
                <c:pt idx="9">
                  <c:v>536.79999999999995</c:v>
                </c:pt>
                <c:pt idx="10">
                  <c:v>538.20000000000005</c:v>
                </c:pt>
                <c:pt idx="11">
                  <c:v>528.4</c:v>
                </c:pt>
                <c:pt idx="12">
                  <c:v>538.20000000000005</c:v>
                </c:pt>
                <c:pt idx="13">
                  <c:v>538.20000000000005</c:v>
                </c:pt>
                <c:pt idx="14">
                  <c:v>538.20000000000005</c:v>
                </c:pt>
              </c:numCache>
            </c:numRef>
          </c:val>
        </c:ser>
        <c:dLbls>
          <c:showLegendKey val="0"/>
          <c:showVal val="0"/>
          <c:showCatName val="0"/>
          <c:showSerName val="0"/>
          <c:showPercent val="0"/>
          <c:showBubbleSize val="0"/>
        </c:dLbls>
        <c:gapWidth val="150"/>
        <c:axId val="291840384"/>
        <c:axId val="291841920"/>
      </c:barChart>
      <c:catAx>
        <c:axId val="291840384"/>
        <c:scaling>
          <c:orientation val="minMax"/>
        </c:scaling>
        <c:delete val="0"/>
        <c:axPos val="b"/>
        <c:majorTickMark val="none"/>
        <c:minorTickMark val="none"/>
        <c:tickLblPos val="nextTo"/>
        <c:spPr>
          <a:ln w="22225">
            <a:solidFill>
              <a:schemeClr val="tx1"/>
            </a:solidFill>
          </a:ln>
        </c:spPr>
        <c:txPr>
          <a:bodyPr/>
          <a:lstStyle/>
          <a:p>
            <a:pPr>
              <a:defRPr sz="1000">
                <a:latin typeface="Times New Roman" pitchFamily="18" charset="0"/>
                <a:cs typeface="Times New Roman" pitchFamily="18" charset="0"/>
              </a:defRPr>
            </a:pPr>
            <a:endParaRPr lang="en-US"/>
          </a:p>
        </c:txPr>
        <c:crossAx val="291841920"/>
        <c:crosses val="autoZero"/>
        <c:auto val="1"/>
        <c:lblAlgn val="ctr"/>
        <c:lblOffset val="100"/>
        <c:noMultiLvlLbl val="0"/>
      </c:catAx>
      <c:valAx>
        <c:axId val="291841920"/>
        <c:scaling>
          <c:orientation val="minMax"/>
          <c:max val="900"/>
          <c:min val="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3.5461311007010262E-3"/>
              <c:y val="8.3648358136162324E-2"/>
            </c:manualLayout>
          </c:layout>
          <c:overlay val="0"/>
        </c:title>
        <c:numFmt formatCode="0"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291840384"/>
        <c:crosses val="autoZero"/>
        <c:crossBetween val="between"/>
        <c:majorUnit val="200"/>
        <c:minorUnit val="50"/>
      </c:valAx>
    </c:plotArea>
    <c:legend>
      <c:legendPos val="r"/>
      <c:layout>
        <c:manualLayout>
          <c:xMode val="edge"/>
          <c:yMode val="edge"/>
          <c:x val="0.60724758297617865"/>
          <c:y val="4.6591841056542724E-2"/>
          <c:w val="0.16279461111664836"/>
          <c:h val="0.14071989167613247"/>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99487179487287"/>
          <c:y val="3.7509850275807742E-2"/>
          <c:w val="0.81844102564102561"/>
          <c:h val="0.80416100469710794"/>
        </c:manualLayout>
      </c:layout>
      <c:barChart>
        <c:barDir val="col"/>
        <c:grouping val="clustered"/>
        <c:varyColors val="0"/>
        <c:ser>
          <c:idx val="0"/>
          <c:order val="0"/>
          <c:tx>
            <c:strRef>
              <c:f>Brodifacoum!$V$26</c:f>
              <c:strCache>
                <c:ptCount val="1"/>
                <c:pt idx="0">
                  <c:v>Brodifacoum</c:v>
                </c:pt>
              </c:strCache>
            </c:strRef>
          </c:tx>
          <c:invertIfNegative val="0"/>
          <c:cat>
            <c:numRef>
              <c:f>Brodifacoum!$W$25:$Y$25</c:f>
              <c:numCache>
                <c:formatCode>General</c:formatCode>
                <c:ptCount val="3"/>
                <c:pt idx="0">
                  <c:v>4</c:v>
                </c:pt>
                <c:pt idx="1">
                  <c:v>28</c:v>
                </c:pt>
                <c:pt idx="2">
                  <c:v>117</c:v>
                </c:pt>
              </c:numCache>
            </c:numRef>
          </c:cat>
          <c:val>
            <c:numRef>
              <c:f>Brodifacoum!$W$26:$Y$26</c:f>
              <c:numCache>
                <c:formatCode>General</c:formatCode>
                <c:ptCount val="3"/>
                <c:pt idx="0">
                  <c:v>380</c:v>
                </c:pt>
                <c:pt idx="1">
                  <c:v>1942</c:v>
                </c:pt>
                <c:pt idx="2">
                  <c:v>2612</c:v>
                </c:pt>
              </c:numCache>
            </c:numRef>
          </c:val>
        </c:ser>
        <c:ser>
          <c:idx val="2"/>
          <c:order val="2"/>
          <c:tx>
            <c:strRef>
              <c:f>Brodifacoum!$V$27</c:f>
              <c:strCache>
                <c:ptCount val="1"/>
                <c:pt idx="0">
                  <c:v>Diphacinone</c:v>
                </c:pt>
              </c:strCache>
            </c:strRef>
          </c:tx>
          <c:invertIfNegative val="0"/>
          <c:cat>
            <c:numRef>
              <c:f>Brodifacoum!$W$25:$Y$25</c:f>
              <c:numCache>
                <c:formatCode>General</c:formatCode>
                <c:ptCount val="3"/>
                <c:pt idx="0">
                  <c:v>4</c:v>
                </c:pt>
                <c:pt idx="1">
                  <c:v>28</c:v>
                </c:pt>
                <c:pt idx="2">
                  <c:v>117</c:v>
                </c:pt>
              </c:numCache>
            </c:numRef>
          </c:cat>
          <c:val>
            <c:numRef>
              <c:f>Brodifacoum!$W$27:$Y$27</c:f>
              <c:numCache>
                <c:formatCode>General</c:formatCode>
                <c:ptCount val="3"/>
                <c:pt idx="0">
                  <c:v>56</c:v>
                </c:pt>
                <c:pt idx="1">
                  <c:v>732</c:v>
                </c:pt>
                <c:pt idx="2">
                  <c:v>1852</c:v>
                </c:pt>
              </c:numCache>
            </c:numRef>
          </c:val>
        </c:ser>
        <c:dLbls>
          <c:showLegendKey val="0"/>
          <c:showVal val="0"/>
          <c:showCatName val="0"/>
          <c:showSerName val="0"/>
          <c:showPercent val="0"/>
          <c:showBubbleSize val="0"/>
        </c:dLbls>
        <c:gapWidth val="150"/>
        <c:axId val="291876864"/>
        <c:axId val="291878784"/>
      </c:barChart>
      <c:lineChart>
        <c:grouping val="standard"/>
        <c:varyColors val="0"/>
        <c:ser>
          <c:idx val="1"/>
          <c:order val="1"/>
          <c:spPr>
            <a:ln>
              <a:solidFill>
                <a:schemeClr val="tx1"/>
              </a:solidFill>
              <a:prstDash val="dash"/>
            </a:ln>
          </c:spPr>
          <c:marker>
            <c:symbol val="none"/>
          </c:marker>
          <c:cat>
            <c:numLit>
              <c:formatCode>General</c:formatCode>
              <c:ptCount val="3"/>
              <c:pt idx="0">
                <c:v>1</c:v>
              </c:pt>
              <c:pt idx="1">
                <c:v>2</c:v>
              </c:pt>
              <c:pt idx="2">
                <c:v>3</c:v>
              </c:pt>
            </c:numLit>
          </c:cat>
          <c:val>
            <c:numRef>
              <c:f>Brodifacoum!$S$3:$S$5</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291876864"/>
        <c:axId val="291878784"/>
      </c:lineChart>
      <c:catAx>
        <c:axId val="291876864"/>
        <c:scaling>
          <c:orientation val="minMax"/>
        </c:scaling>
        <c:delete val="0"/>
        <c:axPos val="b"/>
        <c:title>
          <c:tx>
            <c:rich>
              <a:bodyPr/>
              <a:lstStyle/>
              <a:p>
                <a:pPr>
                  <a:defRPr/>
                </a:pPr>
                <a:r>
                  <a:rPr lang="en-US"/>
                  <a:t>Time to Significant Rainfall Event (d)</a:t>
                </a:r>
              </a:p>
            </c:rich>
          </c:tx>
          <c:layout>
            <c:manualLayout>
              <c:xMode val="edge"/>
              <c:yMode val="edge"/>
              <c:x val="0.34622055320008088"/>
              <c:y val="0.92182821118991365"/>
            </c:manualLayout>
          </c:layout>
          <c:overlay val="0"/>
        </c:title>
        <c:numFmt formatCode="General" sourceLinked="1"/>
        <c:majorTickMark val="none"/>
        <c:minorTickMark val="none"/>
        <c:tickLblPos val="nextTo"/>
        <c:spPr>
          <a:ln w="28575">
            <a:solidFill>
              <a:schemeClr val="tx1"/>
            </a:solidFill>
          </a:ln>
        </c:spPr>
        <c:crossAx val="291878784"/>
        <c:crosses val="autoZero"/>
        <c:auto val="1"/>
        <c:lblAlgn val="ctr"/>
        <c:lblOffset val="100"/>
        <c:noMultiLvlLbl val="0"/>
      </c:catAx>
      <c:valAx>
        <c:axId val="291878784"/>
        <c:scaling>
          <c:orientation val="minMax"/>
        </c:scaling>
        <c:delete val="0"/>
        <c:axPos val="l"/>
        <c:title>
          <c:tx>
            <c:rich>
              <a:bodyPr rot="-5400000" vert="horz"/>
              <a:lstStyle/>
              <a:p>
                <a:pPr>
                  <a:defRPr/>
                </a:pPr>
                <a:r>
                  <a:rPr lang="en-US"/>
                  <a:t>Number Dead Gulls (#/11,000)</a:t>
                </a:r>
              </a:p>
            </c:rich>
          </c:tx>
          <c:layout>
            <c:manualLayout>
              <c:xMode val="edge"/>
              <c:yMode val="edge"/>
              <c:x val="3.8974358974358976E-2"/>
              <c:y val="0.13677705180469471"/>
            </c:manualLayout>
          </c:layout>
          <c:overlay val="0"/>
        </c:title>
        <c:numFmt formatCode="General" sourceLinked="1"/>
        <c:majorTickMark val="in"/>
        <c:minorTickMark val="in"/>
        <c:tickLblPos val="nextTo"/>
        <c:spPr>
          <a:ln w="28575">
            <a:solidFill>
              <a:schemeClr val="tx1"/>
            </a:solidFill>
          </a:ln>
        </c:spPr>
        <c:crossAx val="291876864"/>
        <c:crosses val="autoZero"/>
        <c:crossBetween val="between"/>
      </c:valAx>
    </c:plotArea>
    <c:legend>
      <c:legendPos val="l"/>
      <c:legendEntry>
        <c:idx val="2"/>
        <c:delete val="1"/>
      </c:legendEntry>
      <c:layout>
        <c:manualLayout>
          <c:xMode val="edge"/>
          <c:yMode val="edge"/>
          <c:x val="0.21538461538461537"/>
          <c:y val="7.8453491185942734E-2"/>
          <c:w val="0.16672012921461632"/>
          <c:h val="0.12076965556610469"/>
        </c:manualLayout>
      </c:layout>
      <c:overlay val="1"/>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99487179487282"/>
          <c:y val="3.7509850275807742E-2"/>
          <c:w val="0.81844102564102561"/>
          <c:h val="0.80416100469710794"/>
        </c:manualLayout>
      </c:layout>
      <c:barChart>
        <c:barDir val="col"/>
        <c:grouping val="clustered"/>
        <c:varyColors val="0"/>
        <c:ser>
          <c:idx val="0"/>
          <c:order val="0"/>
          <c:tx>
            <c:strRef>
              <c:f>Brodifacoum!$V$52</c:f>
              <c:strCache>
                <c:ptCount val="1"/>
                <c:pt idx="0">
                  <c:v>Brodifacoum</c:v>
                </c:pt>
              </c:strCache>
            </c:strRef>
          </c:tx>
          <c:invertIfNegative val="0"/>
          <c:cat>
            <c:numRef>
              <c:f>Brodifacoum!$W$25:$Y$25</c:f>
              <c:numCache>
                <c:formatCode>General</c:formatCode>
                <c:ptCount val="3"/>
                <c:pt idx="0">
                  <c:v>4</c:v>
                </c:pt>
                <c:pt idx="1">
                  <c:v>28</c:v>
                </c:pt>
                <c:pt idx="2">
                  <c:v>117</c:v>
                </c:pt>
              </c:numCache>
            </c:numRef>
          </c:cat>
          <c:val>
            <c:numRef>
              <c:f>Brodifacoum!$W$52:$Y$52</c:f>
              <c:numCache>
                <c:formatCode>General</c:formatCode>
                <c:ptCount val="3"/>
                <c:pt idx="0">
                  <c:v>167</c:v>
                </c:pt>
                <c:pt idx="1">
                  <c:v>764</c:v>
                </c:pt>
                <c:pt idx="2">
                  <c:v>1063</c:v>
                </c:pt>
              </c:numCache>
            </c:numRef>
          </c:val>
        </c:ser>
        <c:ser>
          <c:idx val="2"/>
          <c:order val="2"/>
          <c:tx>
            <c:strRef>
              <c:f>Brodifacoum!$V$53</c:f>
              <c:strCache>
                <c:ptCount val="1"/>
                <c:pt idx="0">
                  <c:v>Diphacinone</c:v>
                </c:pt>
              </c:strCache>
            </c:strRef>
          </c:tx>
          <c:invertIfNegative val="0"/>
          <c:cat>
            <c:numRef>
              <c:f>Brodifacoum!$W$25:$Y$25</c:f>
              <c:numCache>
                <c:formatCode>General</c:formatCode>
                <c:ptCount val="3"/>
                <c:pt idx="0">
                  <c:v>4</c:v>
                </c:pt>
                <c:pt idx="1">
                  <c:v>28</c:v>
                </c:pt>
                <c:pt idx="2">
                  <c:v>117</c:v>
                </c:pt>
              </c:numCache>
            </c:numRef>
          </c:cat>
          <c:val>
            <c:numRef>
              <c:f>Brodifacoum!$W$53:$Y$53</c:f>
              <c:numCache>
                <c:formatCode>General</c:formatCode>
                <c:ptCount val="3"/>
                <c:pt idx="0">
                  <c:v>20</c:v>
                </c:pt>
                <c:pt idx="1">
                  <c:v>279</c:v>
                </c:pt>
                <c:pt idx="2">
                  <c:v>753</c:v>
                </c:pt>
              </c:numCache>
            </c:numRef>
          </c:val>
        </c:ser>
        <c:dLbls>
          <c:showLegendKey val="0"/>
          <c:showVal val="0"/>
          <c:showCatName val="0"/>
          <c:showSerName val="0"/>
          <c:showPercent val="0"/>
          <c:showBubbleSize val="0"/>
        </c:dLbls>
        <c:gapWidth val="150"/>
        <c:axId val="292069760"/>
        <c:axId val="292071680"/>
      </c:barChart>
      <c:lineChart>
        <c:grouping val="standard"/>
        <c:varyColors val="0"/>
        <c:ser>
          <c:idx val="1"/>
          <c:order val="1"/>
          <c:spPr>
            <a:ln>
              <a:solidFill>
                <a:schemeClr val="tx1"/>
              </a:solidFill>
              <a:prstDash val="dash"/>
            </a:ln>
          </c:spPr>
          <c:marker>
            <c:symbol val="none"/>
          </c:marker>
          <c:cat>
            <c:numLit>
              <c:formatCode>General</c:formatCode>
              <c:ptCount val="3"/>
              <c:pt idx="0">
                <c:v>1</c:v>
              </c:pt>
              <c:pt idx="1">
                <c:v>2</c:v>
              </c:pt>
              <c:pt idx="2">
                <c:v>3</c:v>
              </c:pt>
            </c:numLit>
          </c:cat>
          <c:val>
            <c:numRef>
              <c:f>Brodifacoum!$S$3:$S$5</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292069760"/>
        <c:axId val="292071680"/>
      </c:lineChart>
      <c:catAx>
        <c:axId val="292069760"/>
        <c:scaling>
          <c:orientation val="minMax"/>
        </c:scaling>
        <c:delete val="0"/>
        <c:axPos val="b"/>
        <c:title>
          <c:tx>
            <c:rich>
              <a:bodyPr/>
              <a:lstStyle/>
              <a:p>
                <a:pPr>
                  <a:defRPr/>
                </a:pPr>
                <a:r>
                  <a:rPr lang="en-US"/>
                  <a:t>Time to Significant Rainfall Event (d)</a:t>
                </a:r>
              </a:p>
            </c:rich>
          </c:tx>
          <c:layout>
            <c:manualLayout>
              <c:xMode val="edge"/>
              <c:yMode val="edge"/>
              <c:x val="0.34622055320008088"/>
              <c:y val="0.92182821118991365"/>
            </c:manualLayout>
          </c:layout>
          <c:overlay val="0"/>
        </c:title>
        <c:numFmt formatCode="General" sourceLinked="1"/>
        <c:majorTickMark val="none"/>
        <c:minorTickMark val="none"/>
        <c:tickLblPos val="nextTo"/>
        <c:spPr>
          <a:ln w="28575">
            <a:solidFill>
              <a:schemeClr val="tx1"/>
            </a:solidFill>
          </a:ln>
        </c:spPr>
        <c:crossAx val="292071680"/>
        <c:crosses val="autoZero"/>
        <c:auto val="1"/>
        <c:lblAlgn val="ctr"/>
        <c:lblOffset val="100"/>
        <c:noMultiLvlLbl val="0"/>
      </c:catAx>
      <c:valAx>
        <c:axId val="292071680"/>
        <c:scaling>
          <c:orientation val="minMax"/>
          <c:max val="3000"/>
        </c:scaling>
        <c:delete val="0"/>
        <c:axPos val="l"/>
        <c:title>
          <c:tx>
            <c:rich>
              <a:bodyPr rot="-5400000" vert="horz"/>
              <a:lstStyle/>
              <a:p>
                <a:pPr>
                  <a:defRPr/>
                </a:pPr>
                <a:r>
                  <a:rPr lang="en-US"/>
                  <a:t>Number Dead Gulls (#/11,000)</a:t>
                </a:r>
              </a:p>
            </c:rich>
          </c:tx>
          <c:layout>
            <c:manualLayout>
              <c:xMode val="edge"/>
              <c:yMode val="edge"/>
              <c:x val="3.8974358974358976E-2"/>
              <c:y val="0.13677705180469471"/>
            </c:manualLayout>
          </c:layout>
          <c:overlay val="0"/>
        </c:title>
        <c:numFmt formatCode="General" sourceLinked="1"/>
        <c:majorTickMark val="in"/>
        <c:minorTickMark val="in"/>
        <c:tickLblPos val="nextTo"/>
        <c:spPr>
          <a:ln w="28575">
            <a:solidFill>
              <a:schemeClr val="tx1"/>
            </a:solidFill>
          </a:ln>
        </c:spPr>
        <c:crossAx val="292069760"/>
        <c:crosses val="autoZero"/>
        <c:crossBetween val="between"/>
        <c:majorUnit val="500"/>
        <c:minorUnit val="100"/>
      </c:valAx>
    </c:plotArea>
    <c:legend>
      <c:legendPos val="l"/>
      <c:legendEntry>
        <c:idx val="2"/>
        <c:delete val="1"/>
      </c:legendEntry>
      <c:layout>
        <c:manualLayout>
          <c:xMode val="edge"/>
          <c:yMode val="edge"/>
          <c:x val="0.21538461538461537"/>
          <c:y val="7.8453491185942706E-2"/>
          <c:w val="0.16672012921461635"/>
          <c:h val="0.12076965556610467"/>
        </c:manualLayout>
      </c:layout>
      <c:overlay val="1"/>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2"/>
          <c:order val="0"/>
          <c:tx>
            <c:strRef>
              <c:f>'Model Stability Runs'!$K$3</c:f>
              <c:strCache>
                <c:ptCount val="1"/>
                <c:pt idx="0">
                  <c:v>CV</c:v>
                </c:pt>
              </c:strCache>
            </c:strRef>
          </c:tx>
          <c:spPr>
            <a:ln w="28575">
              <a:noFill/>
            </a:ln>
          </c:spPr>
          <c:xVal>
            <c:numRef>
              <c:f>'Model Stability Runs'!$H$4:$H$10</c:f>
              <c:numCache>
                <c:formatCode>General</c:formatCode>
                <c:ptCount val="7"/>
                <c:pt idx="0">
                  <c:v>100</c:v>
                </c:pt>
                <c:pt idx="1">
                  <c:v>300</c:v>
                </c:pt>
                <c:pt idx="2">
                  <c:v>1000</c:v>
                </c:pt>
                <c:pt idx="3">
                  <c:v>3000</c:v>
                </c:pt>
                <c:pt idx="4">
                  <c:v>10000</c:v>
                </c:pt>
                <c:pt idx="5">
                  <c:v>30000</c:v>
                </c:pt>
                <c:pt idx="6">
                  <c:v>100000</c:v>
                </c:pt>
              </c:numCache>
            </c:numRef>
          </c:xVal>
          <c:yVal>
            <c:numRef>
              <c:f>'Model Stability Runs'!$K$4:$K$10</c:f>
              <c:numCache>
                <c:formatCode>General</c:formatCode>
                <c:ptCount val="7"/>
                <c:pt idx="0">
                  <c:v>10.311954146699742</c:v>
                </c:pt>
                <c:pt idx="1">
                  <c:v>8.4005919032205281</c:v>
                </c:pt>
                <c:pt idx="2">
                  <c:v>4.0243122287581876</c:v>
                </c:pt>
                <c:pt idx="3">
                  <c:v>2.1609724142466114</c:v>
                </c:pt>
                <c:pt idx="4">
                  <c:v>1.0900748876537161</c:v>
                </c:pt>
                <c:pt idx="5">
                  <c:v>0.60288930021630571</c:v>
                </c:pt>
                <c:pt idx="6">
                  <c:v>0.28710994348634333</c:v>
                </c:pt>
              </c:numCache>
            </c:numRef>
          </c:yVal>
          <c:smooth val="0"/>
        </c:ser>
        <c:dLbls>
          <c:showLegendKey val="0"/>
          <c:showVal val="0"/>
          <c:showCatName val="0"/>
          <c:showSerName val="0"/>
          <c:showPercent val="0"/>
          <c:showBubbleSize val="0"/>
        </c:dLbls>
        <c:axId val="261474176"/>
        <c:axId val="261480448"/>
      </c:scatterChart>
      <c:valAx>
        <c:axId val="261474176"/>
        <c:scaling>
          <c:logBase val="10"/>
          <c:orientation val="minMax"/>
          <c:min val="100"/>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37742360447301737"/>
              <c:y val="0.92010515790240455"/>
            </c:manualLayout>
          </c:layout>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261480448"/>
        <c:crosses val="autoZero"/>
        <c:crossBetween val="midCat"/>
      </c:valAx>
      <c:valAx>
        <c:axId val="261480448"/>
        <c:scaling>
          <c:orientation val="minMax"/>
        </c:scaling>
        <c:delete val="0"/>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Coefficient of Variation (%)</a:t>
                </a:r>
              </a:p>
            </c:rich>
          </c:tx>
          <c:layout>
            <c:manualLayout>
              <c:xMode val="edge"/>
              <c:yMode val="edge"/>
              <c:x val="1.1454751656474343E-2"/>
              <c:y val="0.17183544024386743"/>
            </c:manualLayout>
          </c:layout>
          <c:overlay val="0"/>
        </c:title>
        <c:numFmt formatCode="General" sourceLinked="1"/>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261474176"/>
        <c:crosses val="autoZero"/>
        <c:crossBetween val="midCat"/>
        <c:minorUnit val="0.5"/>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27314814814824"/>
          <c:y val="4.7222222222222332E-2"/>
          <c:w val="0.8182638888888889"/>
          <c:h val="0.75345269341332699"/>
        </c:manualLayout>
      </c:layout>
      <c:barChart>
        <c:barDir val="col"/>
        <c:grouping val="clustered"/>
        <c:varyColors val="0"/>
        <c:ser>
          <c:idx val="0"/>
          <c:order val="0"/>
          <c:invertIfNegative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Brodifacoum!$H$27:$H$34</c:f>
              <c:numCache>
                <c:formatCode>General</c:formatCode>
                <c:ptCount val="8"/>
                <c:pt idx="0">
                  <c:v>6.9500000000000034E-2</c:v>
                </c:pt>
                <c:pt idx="1">
                  <c:v>7.9300000000000134E-2</c:v>
                </c:pt>
                <c:pt idx="2">
                  <c:v>8.5900000000000004E-2</c:v>
                </c:pt>
                <c:pt idx="3">
                  <c:v>8.8200000000000028E-2</c:v>
                </c:pt>
                <c:pt idx="4">
                  <c:v>8.9200000000000043E-2</c:v>
                </c:pt>
                <c:pt idx="5">
                  <c:v>9.240000000000001E-2</c:v>
                </c:pt>
                <c:pt idx="6">
                  <c:v>9.0200000000000002E-2</c:v>
                </c:pt>
                <c:pt idx="7">
                  <c:v>9.0500000000000067E-2</c:v>
                </c:pt>
              </c:numCache>
            </c:numRef>
          </c:val>
        </c:ser>
        <c:dLbls>
          <c:showLegendKey val="0"/>
          <c:showVal val="0"/>
          <c:showCatName val="0"/>
          <c:showSerName val="0"/>
          <c:showPercent val="0"/>
          <c:showBubbleSize val="0"/>
        </c:dLbls>
        <c:gapWidth val="150"/>
        <c:axId val="261488000"/>
        <c:axId val="261752320"/>
      </c:barChart>
      <c:catAx>
        <c:axId val="261488000"/>
        <c:scaling>
          <c:orientation val="minMax"/>
        </c:scaling>
        <c:delete val="0"/>
        <c:axPos val="b"/>
        <c:title>
          <c:tx>
            <c:rich>
              <a:bodyPr/>
              <a:lstStyle/>
              <a:p>
                <a:pPr>
                  <a:defRPr/>
                </a:pPr>
                <a:r>
                  <a:rPr lang="en-US"/>
                  <a:t>Application Date</a:t>
                </a:r>
              </a:p>
            </c:rich>
          </c:tx>
          <c:overlay val="0"/>
        </c:title>
        <c:majorTickMark val="none"/>
        <c:minorTickMark val="none"/>
        <c:tickLblPos val="nextTo"/>
        <c:spPr>
          <a:ln w="28575">
            <a:solidFill>
              <a:schemeClr val="tx1"/>
            </a:solidFill>
          </a:ln>
        </c:spPr>
        <c:crossAx val="261752320"/>
        <c:crosses val="autoZero"/>
        <c:auto val="1"/>
        <c:lblAlgn val="ctr"/>
        <c:lblOffset val="100"/>
        <c:noMultiLvlLbl val="0"/>
      </c:catAx>
      <c:valAx>
        <c:axId val="261752320"/>
        <c:scaling>
          <c:orientation val="minMax"/>
        </c:scaling>
        <c:delete val="0"/>
        <c:axPos val="l"/>
        <c:title>
          <c:tx>
            <c:rich>
              <a:bodyPr rot="-5400000" vert="horz"/>
              <a:lstStyle/>
              <a:p>
                <a:pPr>
                  <a:defRPr/>
                </a:pPr>
                <a:r>
                  <a:rPr lang="en-US"/>
                  <a:t>Proportion of Dead Gulls</a:t>
                </a:r>
              </a:p>
            </c:rich>
          </c:tx>
          <c:layout>
            <c:manualLayout>
              <c:xMode val="edge"/>
              <c:yMode val="edge"/>
              <c:x val="2.3148148148148147E-2"/>
              <c:y val="0.1551884139482565"/>
            </c:manualLayout>
          </c:layout>
          <c:overlay val="0"/>
        </c:title>
        <c:numFmt formatCode="General" sourceLinked="1"/>
        <c:majorTickMark val="in"/>
        <c:minorTickMark val="in"/>
        <c:tickLblPos val="nextTo"/>
        <c:spPr>
          <a:ln w="28575">
            <a:solidFill>
              <a:schemeClr val="tx1"/>
            </a:solidFill>
          </a:ln>
        </c:spPr>
        <c:crossAx val="261488000"/>
        <c:crosses val="autoZero"/>
        <c:crossBetween val="between"/>
        <c:majorUnit val="2.0000000000000011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784722222222329"/>
          <c:y val="4.7222222222222332E-2"/>
          <c:w val="0.80668981481481961"/>
          <c:h val="0.75345269341332699"/>
        </c:manualLayout>
      </c:layout>
      <c:barChart>
        <c:barDir val="col"/>
        <c:grouping val="clustered"/>
        <c:varyColors val="0"/>
        <c:ser>
          <c:idx val="0"/>
          <c:order val="0"/>
          <c:invertIfNegative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Brodifacoum!$I$27:$I$34</c:f>
              <c:numCache>
                <c:formatCode>General</c:formatCode>
                <c:ptCount val="8"/>
                <c:pt idx="0">
                  <c:v>764</c:v>
                </c:pt>
                <c:pt idx="1">
                  <c:v>872</c:v>
                </c:pt>
                <c:pt idx="2">
                  <c:v>945</c:v>
                </c:pt>
                <c:pt idx="3">
                  <c:v>970</c:v>
                </c:pt>
                <c:pt idx="4">
                  <c:v>980</c:v>
                </c:pt>
                <c:pt idx="5">
                  <c:v>1016</c:v>
                </c:pt>
                <c:pt idx="6">
                  <c:v>992</c:v>
                </c:pt>
                <c:pt idx="7">
                  <c:v>995</c:v>
                </c:pt>
              </c:numCache>
            </c:numRef>
          </c:val>
        </c:ser>
        <c:dLbls>
          <c:showLegendKey val="0"/>
          <c:showVal val="0"/>
          <c:showCatName val="0"/>
          <c:showSerName val="0"/>
          <c:showPercent val="0"/>
          <c:showBubbleSize val="0"/>
        </c:dLbls>
        <c:gapWidth val="150"/>
        <c:axId val="261773568"/>
        <c:axId val="261775744"/>
      </c:barChart>
      <c:lineChart>
        <c:grouping val="standard"/>
        <c:varyColors val="0"/>
        <c:ser>
          <c:idx val="1"/>
          <c:order val="1"/>
          <c:spPr>
            <a:ln>
              <a:solidFill>
                <a:sysClr val="windowText" lastClr="000000"/>
              </a:solidFill>
              <a:prstDash val="dash"/>
            </a:ln>
          </c:spPr>
          <c:marker>
            <c:symbol val="none"/>
          </c:marker>
          <c:val>
            <c:numRef>
              <c:f>Brodifacoum!$S$3:$S$10</c:f>
              <c:numCache>
                <c:formatCode>General</c:formatCode>
                <c:ptCount val="8"/>
                <c:pt idx="0">
                  <c:v>1700</c:v>
                </c:pt>
                <c:pt idx="1">
                  <c:v>1700</c:v>
                </c:pt>
                <c:pt idx="2">
                  <c:v>1700</c:v>
                </c:pt>
                <c:pt idx="3">
                  <c:v>1700</c:v>
                </c:pt>
                <c:pt idx="4">
                  <c:v>1700</c:v>
                </c:pt>
                <c:pt idx="5">
                  <c:v>1700</c:v>
                </c:pt>
                <c:pt idx="6">
                  <c:v>1700</c:v>
                </c:pt>
                <c:pt idx="7">
                  <c:v>1700</c:v>
                </c:pt>
              </c:numCache>
            </c:numRef>
          </c:val>
          <c:smooth val="0"/>
        </c:ser>
        <c:dLbls>
          <c:showLegendKey val="0"/>
          <c:showVal val="0"/>
          <c:showCatName val="0"/>
          <c:showSerName val="0"/>
          <c:showPercent val="0"/>
          <c:showBubbleSize val="0"/>
        </c:dLbls>
        <c:marker val="1"/>
        <c:smooth val="0"/>
        <c:axId val="261773568"/>
        <c:axId val="261775744"/>
      </c:lineChart>
      <c:catAx>
        <c:axId val="261773568"/>
        <c:scaling>
          <c:orientation val="minMax"/>
        </c:scaling>
        <c:delete val="0"/>
        <c:axPos val="b"/>
        <c:title>
          <c:tx>
            <c:rich>
              <a:bodyPr/>
              <a:lstStyle/>
              <a:p>
                <a:pPr>
                  <a:defRPr/>
                </a:pPr>
                <a:r>
                  <a:rPr lang="en-US"/>
                  <a:t>Application Date</a:t>
                </a:r>
              </a:p>
            </c:rich>
          </c:tx>
          <c:overlay val="0"/>
        </c:title>
        <c:majorTickMark val="none"/>
        <c:minorTickMark val="none"/>
        <c:tickLblPos val="nextTo"/>
        <c:spPr>
          <a:ln w="28575">
            <a:solidFill>
              <a:schemeClr val="tx1"/>
            </a:solidFill>
          </a:ln>
        </c:spPr>
        <c:crossAx val="261775744"/>
        <c:crosses val="autoZero"/>
        <c:auto val="1"/>
        <c:lblAlgn val="ctr"/>
        <c:lblOffset val="100"/>
        <c:noMultiLvlLbl val="0"/>
      </c:catAx>
      <c:valAx>
        <c:axId val="261775744"/>
        <c:scaling>
          <c:orientation val="minMax"/>
          <c:max val="1800"/>
        </c:scaling>
        <c:delete val="0"/>
        <c:axPos val="l"/>
        <c:title>
          <c:tx>
            <c:rich>
              <a:bodyPr rot="-5400000" vert="horz"/>
              <a:lstStyle/>
              <a:p>
                <a:pPr>
                  <a:defRPr/>
                </a:pPr>
                <a:r>
                  <a:rPr lang="en-US"/>
                  <a:t>Number Dead Birds (#/11,000 Birds)</a:t>
                </a:r>
              </a:p>
            </c:rich>
          </c:tx>
          <c:layout>
            <c:manualLayout>
              <c:xMode val="edge"/>
              <c:yMode val="edge"/>
              <c:x val="3.0092592592592591E-2"/>
              <c:y val="4.7222222222222332E-2"/>
            </c:manualLayout>
          </c:layout>
          <c:overlay val="0"/>
        </c:title>
        <c:numFmt formatCode="General" sourceLinked="1"/>
        <c:majorTickMark val="in"/>
        <c:minorTickMark val="in"/>
        <c:tickLblPos val="nextTo"/>
        <c:spPr>
          <a:ln w="28575">
            <a:solidFill>
              <a:schemeClr val="tx1"/>
            </a:solidFill>
          </a:ln>
        </c:spPr>
        <c:crossAx val="261773568"/>
        <c:crosses val="autoZero"/>
        <c:crossBetween val="between"/>
        <c:majorUnit val="3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0.75000000000000078</c:v>
              </c:pt>
              <c:pt idx="1">
                <c:v>0.9</c:v>
              </c:pt>
              <c:pt idx="2">
                <c:v>0.95000000000000062</c:v>
              </c:pt>
              <c:pt idx="3">
                <c:v>0.98</c:v>
              </c:pt>
            </c:numLit>
          </c:cat>
          <c:val>
            <c:numRef>
              <c:f>(Brodifacoum!$H$23,Brodifacoum!$H$31,Brodifacoum!$H$39,Brodifacoum!$H$47)</c:f>
              <c:numCache>
                <c:formatCode>General</c:formatCode>
                <c:ptCount val="4"/>
                <c:pt idx="0">
                  <c:v>0.22600000000000001</c:v>
                </c:pt>
                <c:pt idx="1">
                  <c:v>8.9200000000000043E-2</c:v>
                </c:pt>
                <c:pt idx="2">
                  <c:v>4.4299999999999999E-2</c:v>
                </c:pt>
                <c:pt idx="3">
                  <c:v>1.77E-2</c:v>
                </c:pt>
              </c:numCache>
            </c:numRef>
          </c:val>
        </c:ser>
        <c:dLbls>
          <c:showLegendKey val="0"/>
          <c:showVal val="0"/>
          <c:showCatName val="0"/>
          <c:showSerName val="0"/>
          <c:showPercent val="0"/>
          <c:showBubbleSize val="0"/>
        </c:dLbls>
        <c:gapWidth val="150"/>
        <c:axId val="261808128"/>
        <c:axId val="261810048"/>
      </c:barChart>
      <c:catAx>
        <c:axId val="261808128"/>
        <c:scaling>
          <c:orientation val="minMax"/>
        </c:scaling>
        <c:delete val="0"/>
        <c:axPos val="b"/>
        <c:title>
          <c:tx>
            <c:rich>
              <a:bodyPr/>
              <a:lstStyle/>
              <a:p>
                <a:pPr>
                  <a:defRPr/>
                </a:pPr>
                <a:r>
                  <a:rPr lang="en-US"/>
                  <a:t>Proportion of Gulls Removed by Hazing</a:t>
                </a:r>
              </a:p>
            </c:rich>
          </c:tx>
          <c:overlay val="0"/>
        </c:title>
        <c:numFmt formatCode="General" sourceLinked="1"/>
        <c:majorTickMark val="none"/>
        <c:minorTickMark val="none"/>
        <c:tickLblPos val="nextTo"/>
        <c:spPr>
          <a:ln w="19050">
            <a:solidFill>
              <a:schemeClr val="tx1"/>
            </a:solidFill>
          </a:ln>
        </c:spPr>
        <c:crossAx val="261810048"/>
        <c:crosses val="autoZero"/>
        <c:auto val="1"/>
        <c:lblAlgn val="ctr"/>
        <c:lblOffset val="100"/>
        <c:noMultiLvlLbl val="0"/>
      </c:catAx>
      <c:valAx>
        <c:axId val="261810048"/>
        <c:scaling>
          <c:orientation val="minMax"/>
          <c:max val="1"/>
        </c:scaling>
        <c:delete val="0"/>
        <c:axPos val="l"/>
        <c:title>
          <c:tx>
            <c:rich>
              <a:bodyPr rot="-5400000" vert="horz"/>
              <a:lstStyle/>
              <a:p>
                <a:pPr>
                  <a:defRPr/>
                </a:pPr>
                <a:r>
                  <a:rPr lang="en-US"/>
                  <a:t>Proportion of Dead Gulls</a:t>
                </a:r>
              </a:p>
            </c:rich>
          </c:tx>
          <c:layout>
            <c:manualLayout>
              <c:xMode val="edge"/>
              <c:yMode val="edge"/>
              <c:x val="1.3888888888888911E-2"/>
              <c:y val="9.7719816272965859E-2"/>
            </c:manualLayout>
          </c:layout>
          <c:overlay val="0"/>
        </c:title>
        <c:numFmt formatCode="General" sourceLinked="1"/>
        <c:majorTickMark val="in"/>
        <c:minorTickMark val="in"/>
        <c:tickLblPos val="nextTo"/>
        <c:spPr>
          <a:ln w="19050">
            <a:solidFill>
              <a:schemeClr val="tx1"/>
            </a:solidFill>
          </a:ln>
        </c:spPr>
        <c:crossAx val="261808128"/>
        <c:crosses val="autoZero"/>
        <c:crossBetween val="between"/>
        <c:majorUnit val="0.2"/>
        <c:minorUnit val="0.05"/>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0.75000000000000078</c:v>
              </c:pt>
              <c:pt idx="1">
                <c:v>0.9</c:v>
              </c:pt>
              <c:pt idx="2">
                <c:v>0.95000000000000062</c:v>
              </c:pt>
              <c:pt idx="3">
                <c:v>0.98</c:v>
              </c:pt>
            </c:numLit>
          </c:cat>
          <c:val>
            <c:numRef>
              <c:f>(Brodifacoum!$I$23,Brodifacoum!$I$31,Brodifacoum!$I$39,Brodifacoum!$I$47)</c:f>
              <c:numCache>
                <c:formatCode>General</c:formatCode>
                <c:ptCount val="4"/>
                <c:pt idx="0">
                  <c:v>2480</c:v>
                </c:pt>
                <c:pt idx="1">
                  <c:v>980</c:v>
                </c:pt>
                <c:pt idx="2">
                  <c:v>486</c:v>
                </c:pt>
                <c:pt idx="3">
                  <c:v>194</c:v>
                </c:pt>
              </c:numCache>
            </c:numRef>
          </c:val>
        </c:ser>
        <c:dLbls>
          <c:showLegendKey val="0"/>
          <c:showVal val="0"/>
          <c:showCatName val="0"/>
          <c:showSerName val="0"/>
          <c:showPercent val="0"/>
          <c:showBubbleSize val="0"/>
        </c:dLbls>
        <c:gapWidth val="150"/>
        <c:axId val="281070208"/>
        <c:axId val="283054848"/>
      </c:barChart>
      <c:lineChart>
        <c:grouping val="standard"/>
        <c:varyColors val="0"/>
        <c:ser>
          <c:idx val="1"/>
          <c:order val="1"/>
          <c:spPr>
            <a:ln>
              <a:solidFill>
                <a:schemeClr val="tx1"/>
              </a:solidFill>
              <a:prstDash val="dash"/>
            </a:ln>
          </c:spPr>
          <c:marker>
            <c:symbol val="none"/>
          </c:marker>
          <c:val>
            <c:numRef>
              <c:f>Brodifacoum!$S$3:$S$6</c:f>
              <c:numCache>
                <c:formatCode>General</c:formatCode>
                <c:ptCount val="4"/>
                <c:pt idx="0">
                  <c:v>1700</c:v>
                </c:pt>
                <c:pt idx="1">
                  <c:v>1700</c:v>
                </c:pt>
                <c:pt idx="2">
                  <c:v>1700</c:v>
                </c:pt>
                <c:pt idx="3">
                  <c:v>1700</c:v>
                </c:pt>
              </c:numCache>
            </c:numRef>
          </c:val>
          <c:smooth val="0"/>
        </c:ser>
        <c:dLbls>
          <c:showLegendKey val="0"/>
          <c:showVal val="0"/>
          <c:showCatName val="0"/>
          <c:showSerName val="0"/>
          <c:showPercent val="0"/>
          <c:showBubbleSize val="0"/>
        </c:dLbls>
        <c:marker val="1"/>
        <c:smooth val="0"/>
        <c:axId val="281070208"/>
        <c:axId val="283054848"/>
      </c:lineChart>
      <c:catAx>
        <c:axId val="281070208"/>
        <c:scaling>
          <c:orientation val="minMax"/>
        </c:scaling>
        <c:delete val="0"/>
        <c:axPos val="b"/>
        <c:title>
          <c:tx>
            <c:rich>
              <a:bodyPr/>
              <a:lstStyle/>
              <a:p>
                <a:pPr>
                  <a:defRPr/>
                </a:pPr>
                <a:r>
                  <a:rPr lang="en-US"/>
                  <a:t>Proportion of Gulls Removed by Hazing</a:t>
                </a:r>
              </a:p>
            </c:rich>
          </c:tx>
          <c:overlay val="0"/>
        </c:title>
        <c:numFmt formatCode="General" sourceLinked="1"/>
        <c:majorTickMark val="none"/>
        <c:minorTickMark val="none"/>
        <c:tickLblPos val="nextTo"/>
        <c:spPr>
          <a:ln w="19050">
            <a:solidFill>
              <a:schemeClr val="tx1"/>
            </a:solidFill>
          </a:ln>
        </c:spPr>
        <c:crossAx val="283054848"/>
        <c:crosses val="autoZero"/>
        <c:auto val="1"/>
        <c:lblAlgn val="ctr"/>
        <c:lblOffset val="100"/>
        <c:noMultiLvlLbl val="0"/>
      </c:catAx>
      <c:valAx>
        <c:axId val="283054848"/>
        <c:scaling>
          <c:orientation val="minMax"/>
        </c:scaling>
        <c:delete val="0"/>
        <c:axPos val="l"/>
        <c:title>
          <c:tx>
            <c:rich>
              <a:bodyPr rot="-5400000" vert="horz"/>
              <a:lstStyle/>
              <a:p>
                <a:pPr>
                  <a:defRPr/>
                </a:pPr>
                <a:r>
                  <a:rPr lang="en-US"/>
                  <a:t>Number of Dead Gulls (#/11,000)</a:t>
                </a:r>
              </a:p>
            </c:rich>
          </c:tx>
          <c:overlay val="0"/>
        </c:title>
        <c:numFmt formatCode="General" sourceLinked="1"/>
        <c:majorTickMark val="in"/>
        <c:minorTickMark val="none"/>
        <c:tickLblPos val="nextTo"/>
        <c:spPr>
          <a:ln w="19050">
            <a:solidFill>
              <a:schemeClr val="tx1"/>
            </a:solidFill>
          </a:ln>
        </c:spPr>
        <c:crossAx val="281070208"/>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928682823477697"/>
          <c:y val="4.7222222222222332E-2"/>
          <c:w val="0.81550593380546832"/>
          <c:h val="0.75345269341332655"/>
        </c:manualLayout>
      </c:layout>
      <c:barChart>
        <c:barDir val="col"/>
        <c:grouping val="clustered"/>
        <c:varyColors val="0"/>
        <c:ser>
          <c:idx val="0"/>
          <c:order val="0"/>
          <c:invertIfNegative val="0"/>
          <c:cat>
            <c:numLit>
              <c:formatCode>General</c:formatCode>
              <c:ptCount val="3"/>
              <c:pt idx="0">
                <c:v>4</c:v>
              </c:pt>
              <c:pt idx="1">
                <c:v>28</c:v>
              </c:pt>
              <c:pt idx="2">
                <c:v>117</c:v>
              </c:pt>
            </c:numLit>
          </c:cat>
          <c:val>
            <c:numRef>
              <c:f>(Brodifacoum!$H$79,Brodifacoum!$H$31,Brodifacoum!$H$127)</c:f>
              <c:numCache>
                <c:formatCode>General</c:formatCode>
                <c:ptCount val="3"/>
                <c:pt idx="0">
                  <c:v>6.4100000000000004E-2</c:v>
                </c:pt>
                <c:pt idx="1">
                  <c:v>8.9200000000000043E-2</c:v>
                </c:pt>
                <c:pt idx="2">
                  <c:v>9.5500000000000265E-2</c:v>
                </c:pt>
              </c:numCache>
            </c:numRef>
          </c:val>
        </c:ser>
        <c:dLbls>
          <c:showLegendKey val="0"/>
          <c:showVal val="0"/>
          <c:showCatName val="0"/>
          <c:showSerName val="0"/>
          <c:showPercent val="0"/>
          <c:showBubbleSize val="0"/>
        </c:dLbls>
        <c:gapWidth val="150"/>
        <c:axId val="283070848"/>
        <c:axId val="283072768"/>
      </c:barChart>
      <c:catAx>
        <c:axId val="283070848"/>
        <c:scaling>
          <c:orientation val="minMax"/>
        </c:scaling>
        <c:delete val="0"/>
        <c:axPos val="b"/>
        <c:title>
          <c:tx>
            <c:rich>
              <a:bodyPr/>
              <a:lstStyle/>
              <a:p>
                <a:pPr>
                  <a:defRPr/>
                </a:pPr>
                <a:r>
                  <a:rPr lang="en-US"/>
                  <a:t>Time to Significant Rainfall Event (d)</a:t>
                </a:r>
              </a:p>
            </c:rich>
          </c:tx>
          <c:overlay val="0"/>
        </c:title>
        <c:numFmt formatCode="General" sourceLinked="1"/>
        <c:majorTickMark val="none"/>
        <c:minorTickMark val="none"/>
        <c:tickLblPos val="nextTo"/>
        <c:spPr>
          <a:ln w="28575">
            <a:solidFill>
              <a:schemeClr val="tx1"/>
            </a:solidFill>
          </a:ln>
        </c:spPr>
        <c:crossAx val="283072768"/>
        <c:crosses val="autoZero"/>
        <c:auto val="1"/>
        <c:lblAlgn val="ctr"/>
        <c:lblOffset val="100"/>
        <c:noMultiLvlLbl val="0"/>
      </c:catAx>
      <c:valAx>
        <c:axId val="283072768"/>
        <c:scaling>
          <c:orientation val="minMax"/>
          <c:max val="0.2"/>
        </c:scaling>
        <c:delete val="0"/>
        <c:axPos val="l"/>
        <c:title>
          <c:tx>
            <c:rich>
              <a:bodyPr rot="-5400000" vert="horz"/>
              <a:lstStyle/>
              <a:p>
                <a:pPr>
                  <a:defRPr/>
                </a:pPr>
                <a:r>
                  <a:rPr lang="en-US"/>
                  <a:t>Proportion of Dead Gulls</a:t>
                </a:r>
              </a:p>
            </c:rich>
          </c:tx>
          <c:layout>
            <c:manualLayout>
              <c:xMode val="edge"/>
              <c:yMode val="edge"/>
              <c:x val="3.2081939221506199E-2"/>
              <c:y val="0.1551884139482565"/>
            </c:manualLayout>
          </c:layout>
          <c:overlay val="0"/>
        </c:title>
        <c:numFmt formatCode="General" sourceLinked="1"/>
        <c:majorTickMark val="in"/>
        <c:minorTickMark val="in"/>
        <c:tickLblPos val="nextTo"/>
        <c:spPr>
          <a:ln w="28575">
            <a:solidFill>
              <a:schemeClr val="tx1"/>
            </a:solidFill>
          </a:ln>
        </c:spPr>
        <c:crossAx val="283070848"/>
        <c:crosses val="autoZero"/>
        <c:crossBetween val="between"/>
        <c:majorUnit val="0.05"/>
        <c:minorUnit val="1.0000000000000005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40F66F47-99B4-479E-9613-0D8801C3C83B}">
  <ds:schemaRefs>
    <ds:schemaRef ds:uri="http://schemas.openxmlformats.org/officeDocument/2006/bibliography"/>
  </ds:schemaRefs>
</ds:datastoreItem>
</file>

<file path=customXml/itemProps2.xml><?xml version="1.0" encoding="utf-8"?>
<ds:datastoreItem xmlns:ds="http://schemas.openxmlformats.org/officeDocument/2006/customXml" ds:itemID="{4F5779A0-ED01-4A23-84F0-2E7E805BFA6C}"/>
</file>

<file path=customXml/itemProps3.xml><?xml version="1.0" encoding="utf-8"?>
<ds:datastoreItem xmlns:ds="http://schemas.openxmlformats.org/officeDocument/2006/customXml" ds:itemID="{7BD2BE92-6AEF-4086-8943-58288C8A8E3A}"/>
</file>

<file path=customXml/itemProps4.xml><?xml version="1.0" encoding="utf-8"?>
<ds:datastoreItem xmlns:ds="http://schemas.openxmlformats.org/officeDocument/2006/customXml" ds:itemID="{F8B0B213-401A-4B37-91A8-A61992EDB640}"/>
</file>

<file path=docProps/app.xml><?xml version="1.0" encoding="utf-8"?>
<Properties xmlns="http://schemas.openxmlformats.org/officeDocument/2006/extended-properties" xmlns:vt="http://schemas.openxmlformats.org/officeDocument/2006/docPropsVTypes">
  <Template>Normal</Template>
  <TotalTime>1</TotalTime>
  <Pages>91</Pages>
  <Words>23413</Words>
  <Characters>133456</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156556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 Teed</dc:creator>
  <cp:lastModifiedBy>Gabrielle Feldman</cp:lastModifiedBy>
  <cp:revision>2</cp:revision>
  <cp:lastPrinted>2012-09-17T12:13:00Z</cp:lastPrinted>
  <dcterms:created xsi:type="dcterms:W3CDTF">2012-12-12T21:54:00Z</dcterms:created>
  <dcterms:modified xsi:type="dcterms:W3CDTF">2012-12-12T21:54:00Z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465600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